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000000"/>
          <w:sz w:val="36"/>
          <w:szCs w:val="36"/>
        </w:rPr>
      </w:pPr>
    </w:p>
    <w:p>
      <w:pPr>
        <w:rPr>
          <w:rFonts w:ascii="仿宋_GB2312" w:hAnsi="仿宋_GB2312" w:eastAsia="仿宋_GB2312" w:cs="仿宋_GB2312"/>
          <w:color w:val="000000"/>
          <w:sz w:val="36"/>
          <w:szCs w:val="36"/>
        </w:rPr>
      </w:pPr>
    </w:p>
    <w:p>
      <w:pPr>
        <w:rPr>
          <w:rFonts w:ascii="仿宋_GB2312" w:hAnsi="仿宋_GB2312" w:eastAsia="仿宋_GB2312" w:cs="仿宋_GB2312"/>
          <w:color w:val="000000"/>
          <w:sz w:val="36"/>
          <w:szCs w:val="36"/>
        </w:rPr>
      </w:pPr>
    </w:p>
    <w:p>
      <w:pPr>
        <w:rPr>
          <w:rFonts w:ascii="仿宋_GB2312" w:hAnsi="仿宋_GB2312" w:eastAsia="仿宋_GB2312" w:cs="仿宋_GB2312"/>
          <w:color w:val="000000"/>
          <w:sz w:val="36"/>
          <w:szCs w:val="36"/>
        </w:rPr>
      </w:pPr>
    </w:p>
    <w:p>
      <w:pPr>
        <w:rPr>
          <w:rFonts w:ascii="仿宋_GB2312" w:hAnsi="仿宋_GB2312" w:eastAsia="仿宋_GB2312" w:cs="仿宋_GB2312"/>
          <w:color w:val="000000"/>
          <w:sz w:val="36"/>
          <w:szCs w:val="36"/>
        </w:rPr>
      </w:pPr>
    </w:p>
    <w:p>
      <w:pPr>
        <w:adjustRightInd w:val="0"/>
        <w:snapToGrid w:val="0"/>
        <w:jc w:val="center"/>
        <w:outlineLvl w:val="0"/>
        <w:rPr>
          <w:rFonts w:ascii="方正小标宋_GBK" w:eastAsia="方正小标宋_GBK"/>
          <w:bCs/>
          <w:color w:val="000000"/>
          <w:sz w:val="72"/>
          <w:szCs w:val="72"/>
        </w:rPr>
      </w:pPr>
      <w:r>
        <w:rPr>
          <w:rFonts w:hint="eastAsia" w:ascii="方正小标宋_GBK" w:eastAsia="方正小标宋_GBK"/>
          <w:bCs/>
          <w:color w:val="000000"/>
          <w:sz w:val="72"/>
          <w:szCs w:val="72"/>
        </w:rPr>
        <w:t>建设项目环境影响报告表</w:t>
      </w:r>
    </w:p>
    <w:p>
      <w:pPr>
        <w:adjustRightInd w:val="0"/>
        <w:snapToGrid w:val="0"/>
        <w:spacing w:before="192" w:beforeLines="80"/>
        <w:jc w:val="center"/>
        <w:outlineLvl w:val="0"/>
        <w:rPr>
          <w:rFonts w:ascii="楷体_GB2312" w:eastAsia="楷体_GB2312"/>
          <w:bCs/>
          <w:color w:val="000000"/>
          <w:sz w:val="48"/>
          <w:szCs w:val="48"/>
        </w:rPr>
      </w:pPr>
      <w:r>
        <w:rPr>
          <w:rFonts w:hint="eastAsia" w:ascii="楷体_GB2312" w:eastAsia="楷体_GB2312"/>
          <w:bCs/>
          <w:color w:val="000000"/>
          <w:sz w:val="48"/>
          <w:szCs w:val="48"/>
        </w:rPr>
        <w:t>（污染影响类）</w:t>
      </w:r>
    </w:p>
    <w:p>
      <w:pPr>
        <w:adjustRightInd w:val="0"/>
        <w:snapToGrid w:val="0"/>
        <w:spacing w:line="288" w:lineRule="auto"/>
        <w:jc w:val="center"/>
        <w:rPr>
          <w:rFonts w:ascii="华文仿宋" w:hAnsi="华文仿宋" w:eastAsia="华文仿宋" w:cs="华文仿宋"/>
          <w:color w:val="000000"/>
          <w:kern w:val="44"/>
          <w:sz w:val="44"/>
          <w:szCs w:val="44"/>
        </w:rPr>
      </w:pPr>
    </w:p>
    <w:p>
      <w:pPr>
        <w:jc w:val="center"/>
        <w:rPr>
          <w:rFonts w:eastAsia="仿宋"/>
          <w:color w:val="000000"/>
          <w:sz w:val="52"/>
          <w:szCs w:val="52"/>
        </w:rPr>
      </w:pPr>
    </w:p>
    <w:p>
      <w:pPr>
        <w:ind w:firstLine="1040"/>
        <w:rPr>
          <w:rFonts w:eastAsia="仿宋"/>
          <w:color w:val="000000"/>
          <w:sz w:val="44"/>
          <w:szCs w:val="44"/>
        </w:rPr>
      </w:pPr>
    </w:p>
    <w:p>
      <w:pPr>
        <w:ind w:firstLine="1040"/>
        <w:rPr>
          <w:rFonts w:eastAsia="仿宋"/>
          <w:color w:val="000000"/>
          <w:sz w:val="44"/>
          <w:szCs w:val="44"/>
        </w:rPr>
      </w:pPr>
    </w:p>
    <w:p>
      <w:pPr>
        <w:ind w:firstLine="1040"/>
        <w:rPr>
          <w:rFonts w:eastAsia="仿宋"/>
          <w:color w:val="000000"/>
          <w:sz w:val="44"/>
          <w:szCs w:val="44"/>
        </w:rPr>
      </w:pPr>
    </w:p>
    <w:p>
      <w:pPr>
        <w:ind w:firstLine="1040"/>
        <w:rPr>
          <w:rFonts w:eastAsia="仿宋"/>
          <w:color w:val="000000"/>
          <w:sz w:val="44"/>
          <w:szCs w:val="44"/>
        </w:rPr>
      </w:pPr>
    </w:p>
    <w:p>
      <w:pPr>
        <w:adjustRightInd w:val="0"/>
        <w:snapToGrid w:val="0"/>
        <w:spacing w:line="288" w:lineRule="auto"/>
        <w:outlineLvl w:val="0"/>
        <w:rPr>
          <w:rFonts w:ascii="仿宋_GB2312" w:eastAsia="仿宋_GB2312"/>
          <w:b/>
          <w:bCs/>
          <w:color w:val="000000"/>
          <w:sz w:val="36"/>
          <w:szCs w:val="36"/>
          <w:u w:val="single"/>
        </w:rPr>
      </w:pPr>
      <w:r>
        <w:rPr>
          <w:rFonts w:hint="eastAsia" w:ascii="仿宋_GB2312" w:eastAsia="仿宋_GB2312"/>
          <w:color w:val="000000"/>
          <w:sz w:val="36"/>
          <w:szCs w:val="36"/>
        </w:rPr>
        <w:t xml:space="preserve">项目名称： </w:t>
      </w:r>
      <w:r>
        <w:rPr>
          <w:rFonts w:hint="eastAsia" w:ascii="仿宋" w:hAnsi="仿宋" w:eastAsia="仿宋" w:cs="仿宋"/>
          <w:color w:val="000000"/>
          <w:sz w:val="36"/>
          <w:szCs w:val="36"/>
          <w:u w:val="single"/>
        </w:rPr>
        <w:t>连州市慢性病防治院精神康复综合楼建设项目</w:t>
      </w:r>
    </w:p>
    <w:p>
      <w:pPr>
        <w:adjustRightInd w:val="0"/>
        <w:snapToGrid w:val="0"/>
        <w:spacing w:line="288" w:lineRule="auto"/>
        <w:rPr>
          <w:rFonts w:ascii="仿宋_GB2312" w:eastAsia="仿宋_GB2312"/>
          <w:b/>
          <w:bCs/>
          <w:color w:val="000000"/>
          <w:sz w:val="36"/>
          <w:szCs w:val="36"/>
          <w:u w:val="single"/>
        </w:rPr>
      </w:pPr>
    </w:p>
    <w:p>
      <w:pPr>
        <w:adjustRightInd w:val="0"/>
        <w:snapToGrid w:val="0"/>
        <w:spacing w:line="288" w:lineRule="auto"/>
        <w:outlineLvl w:val="0"/>
        <w:rPr>
          <w:rFonts w:ascii="仿宋_GB2312" w:eastAsia="仿宋_GB2312"/>
          <w:color w:val="000000"/>
          <w:sz w:val="36"/>
          <w:szCs w:val="36"/>
          <w:u w:val="single"/>
        </w:rPr>
      </w:pPr>
      <w:r>
        <w:rPr>
          <w:rFonts w:hint="eastAsia" w:ascii="仿宋_GB2312" w:eastAsia="仿宋_GB2312"/>
          <w:color w:val="000000"/>
          <w:sz w:val="36"/>
          <w:szCs w:val="36"/>
        </w:rPr>
        <w:t>建设单位（盖章）：</w:t>
      </w:r>
      <w:r>
        <w:rPr>
          <w:rFonts w:hint="eastAsia" w:ascii="仿宋" w:hAnsi="仿宋" w:eastAsia="仿宋" w:cs="仿宋"/>
          <w:color w:val="000000"/>
          <w:sz w:val="36"/>
          <w:szCs w:val="36"/>
          <w:u w:val="single"/>
        </w:rPr>
        <w:t>连州市慢性病防治院</w:t>
      </w:r>
    </w:p>
    <w:p>
      <w:pPr>
        <w:adjustRightInd w:val="0"/>
        <w:snapToGrid w:val="0"/>
        <w:spacing w:line="288" w:lineRule="auto"/>
        <w:ind w:firstLine="1040"/>
        <w:rPr>
          <w:rFonts w:ascii="仿宋_GB2312" w:eastAsia="仿宋_GB2312"/>
          <w:color w:val="000000"/>
          <w:sz w:val="36"/>
          <w:szCs w:val="36"/>
          <w:u w:val="single"/>
        </w:rPr>
      </w:pPr>
    </w:p>
    <w:p>
      <w:pPr>
        <w:pStyle w:val="2"/>
        <w:rPr>
          <w:rFonts w:ascii="仿宋_GB2312" w:eastAsia="仿宋_GB2312"/>
          <w:sz w:val="36"/>
          <w:szCs w:val="36"/>
          <w:u w:val="single"/>
        </w:rPr>
      </w:pPr>
    </w:p>
    <w:p>
      <w:pPr>
        <w:pStyle w:val="47"/>
        <w:rPr>
          <w:rFonts w:ascii="仿宋_GB2312" w:eastAsia="仿宋_GB2312"/>
          <w:color w:val="000000"/>
          <w:sz w:val="36"/>
          <w:szCs w:val="36"/>
          <w:u w:val="single"/>
        </w:rPr>
      </w:pPr>
    </w:p>
    <w:p>
      <w:pPr>
        <w:pStyle w:val="24"/>
        <w:rPr>
          <w:color w:val="000000"/>
        </w:rPr>
      </w:pPr>
    </w:p>
    <w:p>
      <w:pPr>
        <w:adjustRightInd w:val="0"/>
        <w:snapToGrid w:val="0"/>
        <w:spacing w:line="288" w:lineRule="auto"/>
        <w:jc w:val="center"/>
        <w:outlineLvl w:val="0"/>
        <w:rPr>
          <w:rFonts w:ascii="仿宋_GB2312" w:eastAsia="仿宋_GB2312"/>
          <w:color w:val="000000"/>
          <w:sz w:val="36"/>
          <w:szCs w:val="36"/>
        </w:rPr>
      </w:pPr>
      <w:r>
        <w:rPr>
          <w:rFonts w:hint="eastAsia" w:ascii="仿宋_GB2312" w:eastAsia="仿宋_GB2312"/>
          <w:color w:val="000000"/>
          <w:sz w:val="36"/>
          <w:szCs w:val="36"/>
        </w:rPr>
        <w:t>编制日期：</w:t>
      </w:r>
      <w:bookmarkStart w:id="0" w:name="_Hlk57884087"/>
      <w:r>
        <w:rPr>
          <w:rFonts w:hint="eastAsia" w:ascii="仿宋_GB2312" w:eastAsia="仿宋_GB2312"/>
          <w:color w:val="000000"/>
          <w:sz w:val="36"/>
          <w:szCs w:val="36"/>
        </w:rPr>
        <w:t>2021年</w:t>
      </w:r>
      <w:r>
        <w:rPr>
          <w:rFonts w:hint="eastAsia" w:ascii="仿宋_GB2312" w:eastAsia="仿宋_GB2312"/>
          <w:color w:val="000000"/>
          <w:sz w:val="36"/>
          <w:szCs w:val="36"/>
          <w:lang w:val="en-US" w:eastAsia="zh-CN"/>
        </w:rPr>
        <w:t>7</w:t>
      </w:r>
      <w:r>
        <w:rPr>
          <w:rFonts w:hint="eastAsia" w:ascii="仿宋_GB2312" w:eastAsia="仿宋_GB2312"/>
          <w:color w:val="000000"/>
          <w:sz w:val="36"/>
          <w:szCs w:val="36"/>
        </w:rPr>
        <w:t>月</w:t>
      </w:r>
    </w:p>
    <w:bookmarkEnd w:id="0"/>
    <w:p>
      <w:pPr>
        <w:adjustRightInd w:val="0"/>
        <w:snapToGrid w:val="0"/>
        <w:spacing w:line="288" w:lineRule="auto"/>
        <w:jc w:val="center"/>
        <w:rPr>
          <w:rFonts w:ascii="楷体_GB2312" w:eastAsia="楷体_GB2312"/>
          <w:color w:val="000000"/>
          <w:sz w:val="36"/>
          <w:szCs w:val="36"/>
        </w:rPr>
      </w:pPr>
    </w:p>
    <w:p>
      <w:pPr>
        <w:adjustRightInd w:val="0"/>
        <w:snapToGrid w:val="0"/>
        <w:spacing w:line="288" w:lineRule="auto"/>
        <w:ind w:firstLine="1040"/>
        <w:rPr>
          <w:rFonts w:ascii="仿宋_GB2312" w:eastAsia="仿宋_GB2312"/>
          <w:color w:val="000000"/>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25"/>
        <w:jc w:val="center"/>
        <w:outlineLvl w:val="0"/>
        <w:rPr>
          <w:rFonts w:hint="eastAsia" w:ascii="黑体" w:hAnsi="黑体" w:eastAsia="黑体"/>
          <w:snapToGrid w:val="0"/>
          <w:color w:val="000000"/>
          <w:sz w:val="30"/>
          <w:szCs w:val="30"/>
        </w:rPr>
        <w:sectPr>
          <w:footerReference r:id="rId5" w:type="default"/>
          <w:pgSz w:w="11906" w:h="16838"/>
          <w:pgMar w:top="1701" w:right="1531" w:bottom="1701" w:left="1531" w:header="851" w:footer="1077" w:gutter="0"/>
          <w:pgNumType w:start="1"/>
          <w:cols w:space="720" w:num="1"/>
          <w:docGrid w:linePitch="312" w:charSpace="0"/>
        </w:sectPr>
      </w:pPr>
    </w:p>
    <w:p>
      <w:pPr>
        <w:pStyle w:val="25"/>
        <w:jc w:val="center"/>
        <w:outlineLvl w:val="0"/>
        <w:rPr>
          <w:rFonts w:ascii="黑体" w:hAnsi="黑体" w:eastAsia="黑体"/>
          <w:snapToGrid w:val="0"/>
          <w:color w:val="000000"/>
          <w:sz w:val="30"/>
          <w:szCs w:val="30"/>
        </w:rPr>
      </w:pPr>
      <w:r>
        <w:rPr>
          <w:rFonts w:hint="eastAsia" w:ascii="黑体" w:hAnsi="黑体" w:eastAsia="黑体"/>
          <w:snapToGrid w:val="0"/>
          <w:color w:val="000000"/>
          <w:sz w:val="30"/>
          <w:szCs w:val="30"/>
        </w:rPr>
        <w:t>一、建设项目基本情况</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975"/>
        <w:gridCol w:w="2022"/>
        <w:gridCol w:w="2200"/>
        <w:gridCol w:w="26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建设项目名称</w:t>
            </w:r>
          </w:p>
        </w:tc>
        <w:tc>
          <w:tcPr>
            <w:tcW w:w="6849" w:type="dxa"/>
            <w:gridSpan w:val="3"/>
            <w:vAlign w:val="center"/>
          </w:tcPr>
          <w:p>
            <w:pPr>
              <w:adjustRightInd w:val="0"/>
              <w:snapToGrid w:val="0"/>
              <w:jc w:val="center"/>
              <w:rPr>
                <w:color w:val="000000"/>
                <w:sz w:val="24"/>
                <w:szCs w:val="24"/>
              </w:rPr>
            </w:pPr>
            <w:r>
              <w:rPr>
                <w:rFonts w:hint="eastAsia" w:ascii="宋体" w:hAnsi="宋体" w:cs="宋体"/>
                <w:sz w:val="24"/>
                <w:szCs w:val="24"/>
              </w:rPr>
              <w:t>连州市慢性病防治院精神康复综合楼建设项目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项目代码</w:t>
            </w:r>
          </w:p>
        </w:tc>
        <w:tc>
          <w:tcPr>
            <w:tcW w:w="6849" w:type="dxa"/>
            <w:gridSpan w:val="3"/>
            <w:vAlign w:val="center"/>
          </w:tcPr>
          <w:p>
            <w:pPr>
              <w:adjustRightInd w:val="0"/>
              <w:snapToGrid w:val="0"/>
              <w:jc w:val="center"/>
              <w:rPr>
                <w:color w:val="000000"/>
                <w:sz w:val="24"/>
                <w:szCs w:val="24"/>
              </w:rPr>
            </w:pPr>
            <w:r>
              <w:rPr>
                <w:rFonts w:hint="eastAsia"/>
                <w:color w:val="000000"/>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建设单位联系人</w:t>
            </w:r>
          </w:p>
        </w:tc>
        <w:tc>
          <w:tcPr>
            <w:tcW w:w="2022" w:type="dxa"/>
            <w:vAlign w:val="center"/>
          </w:tcPr>
          <w:p>
            <w:pPr>
              <w:adjustRightInd w:val="0"/>
              <w:snapToGrid w:val="0"/>
              <w:jc w:val="center"/>
              <w:rPr>
                <w:rFonts w:hint="default"/>
                <w:color w:val="000000"/>
                <w:sz w:val="24"/>
                <w:szCs w:val="24"/>
              </w:rPr>
            </w:pPr>
            <w:r>
              <w:rPr>
                <w:rFonts w:hint="eastAsia"/>
                <w:color w:val="000000"/>
                <w:sz w:val="24"/>
                <w:szCs w:val="24"/>
              </w:rPr>
              <w:t>张</w:t>
            </w:r>
            <w:r>
              <w:rPr>
                <w:rFonts w:hint="eastAsia"/>
                <w:color w:val="000000"/>
                <w:sz w:val="24"/>
                <w:szCs w:val="24"/>
                <w:lang w:val="en-US" w:eastAsia="zh-CN"/>
              </w:rPr>
              <w:t>信义</w:t>
            </w:r>
          </w:p>
        </w:tc>
        <w:tc>
          <w:tcPr>
            <w:tcW w:w="2200" w:type="dxa"/>
            <w:vAlign w:val="center"/>
          </w:tcPr>
          <w:p>
            <w:pPr>
              <w:adjustRightInd w:val="0"/>
              <w:snapToGrid w:val="0"/>
              <w:jc w:val="center"/>
              <w:rPr>
                <w:color w:val="000000"/>
                <w:sz w:val="24"/>
                <w:szCs w:val="24"/>
              </w:rPr>
            </w:pPr>
            <w:r>
              <w:rPr>
                <w:rFonts w:hint="eastAsia"/>
                <w:color w:val="000000"/>
                <w:sz w:val="24"/>
                <w:szCs w:val="24"/>
              </w:rPr>
              <w:t>联系方式</w:t>
            </w:r>
          </w:p>
        </w:tc>
        <w:tc>
          <w:tcPr>
            <w:tcW w:w="2627" w:type="dxa"/>
            <w:vAlign w:val="center"/>
          </w:tcPr>
          <w:p>
            <w:pPr>
              <w:adjustRightInd w:val="0"/>
              <w:snapToGrid w:val="0"/>
              <w:jc w:val="center"/>
              <w:rPr>
                <w:color w:val="000000"/>
                <w:sz w:val="24"/>
                <w:szCs w:val="24"/>
              </w:rPr>
            </w:pPr>
            <w:r>
              <w:rPr>
                <w:color w:val="000000"/>
                <w:sz w:val="24"/>
                <w:szCs w:val="24"/>
              </w:rPr>
              <w:t>13602928910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建设地点</w:t>
            </w:r>
          </w:p>
        </w:tc>
        <w:tc>
          <w:tcPr>
            <w:tcW w:w="6849" w:type="dxa"/>
            <w:gridSpan w:val="3"/>
            <w:vAlign w:val="center"/>
          </w:tcPr>
          <w:p>
            <w:pPr>
              <w:adjustRightInd w:val="0"/>
              <w:snapToGrid w:val="0"/>
              <w:jc w:val="center"/>
              <w:rPr>
                <w:color w:val="000000"/>
                <w:sz w:val="24"/>
                <w:szCs w:val="24"/>
              </w:rPr>
            </w:pPr>
            <w:r>
              <w:rPr>
                <w:rFonts w:hint="eastAsia" w:ascii="宋体" w:hAnsi="宋体" w:cs="宋体"/>
                <w:color w:val="000000"/>
                <w:sz w:val="24"/>
                <w:szCs w:val="24"/>
              </w:rPr>
              <w:t>连州市</w:t>
            </w:r>
            <w:r>
              <w:rPr>
                <w:rFonts w:hint="eastAsia" w:ascii="宋体" w:hAnsi="宋体"/>
                <w:sz w:val="24"/>
                <w:szCs w:val="24"/>
              </w:rPr>
              <w:t>连州镇三古滩村委会马公岭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地理坐标</w:t>
            </w:r>
          </w:p>
        </w:tc>
        <w:tc>
          <w:tcPr>
            <w:tcW w:w="6849" w:type="dxa"/>
            <w:gridSpan w:val="3"/>
            <w:vAlign w:val="center"/>
          </w:tcPr>
          <w:p>
            <w:pPr>
              <w:jc w:val="center"/>
              <w:rPr>
                <w:color w:val="000000"/>
                <w:sz w:val="24"/>
                <w:szCs w:val="24"/>
              </w:rPr>
            </w:pPr>
            <w:r>
              <w:rPr>
                <w:rFonts w:hint="eastAsia"/>
                <w:color w:val="000000"/>
                <w:sz w:val="24"/>
                <w:szCs w:val="24"/>
              </w:rPr>
              <w:t>东经</w:t>
            </w:r>
            <w:r>
              <w:rPr>
                <w:color w:val="000000"/>
                <w:sz w:val="24"/>
                <w:szCs w:val="24"/>
              </w:rPr>
              <w:t>112</w:t>
            </w:r>
            <w:r>
              <w:rPr>
                <w:rFonts w:hint="eastAsia"/>
                <w:color w:val="000000"/>
                <w:sz w:val="24"/>
                <w:szCs w:val="24"/>
              </w:rPr>
              <w:t>°</w:t>
            </w:r>
            <w:r>
              <w:rPr>
                <w:color w:val="000000"/>
                <w:sz w:val="24"/>
                <w:szCs w:val="24"/>
              </w:rPr>
              <w:t>22</w:t>
            </w:r>
            <w:r>
              <w:rPr>
                <w:rFonts w:hint="eastAsia"/>
                <w:color w:val="000000"/>
                <w:sz w:val="24"/>
                <w:szCs w:val="24"/>
              </w:rPr>
              <w:t>′</w:t>
            </w:r>
            <w:r>
              <w:rPr>
                <w:color w:val="000000"/>
                <w:sz w:val="24"/>
                <w:szCs w:val="24"/>
              </w:rPr>
              <w:t>4.5988</w:t>
            </w:r>
            <w:r>
              <w:rPr>
                <w:rFonts w:hint="eastAsia"/>
                <w:color w:val="000000"/>
                <w:sz w:val="24"/>
                <w:szCs w:val="24"/>
              </w:rPr>
              <w:t>″</w:t>
            </w:r>
            <w:r>
              <w:rPr>
                <w:color w:val="000000"/>
                <w:sz w:val="24"/>
                <w:szCs w:val="24"/>
              </w:rPr>
              <w:t xml:space="preserve">, </w:t>
            </w:r>
            <w:r>
              <w:rPr>
                <w:rFonts w:hint="eastAsia"/>
                <w:color w:val="000000"/>
                <w:sz w:val="24"/>
                <w:szCs w:val="24"/>
              </w:rPr>
              <w:t>北纬</w:t>
            </w:r>
            <w:r>
              <w:rPr>
                <w:color w:val="000000"/>
                <w:sz w:val="24"/>
                <w:szCs w:val="24"/>
              </w:rPr>
              <w:t>24</w:t>
            </w:r>
            <w:r>
              <w:rPr>
                <w:rFonts w:hint="eastAsia"/>
                <w:color w:val="000000"/>
                <w:sz w:val="24"/>
                <w:szCs w:val="24"/>
              </w:rPr>
              <w:t>°</w:t>
            </w:r>
            <w:r>
              <w:rPr>
                <w:color w:val="000000"/>
                <w:sz w:val="24"/>
                <w:szCs w:val="24"/>
              </w:rPr>
              <w:t>48</w:t>
            </w:r>
            <w:r>
              <w:rPr>
                <w:rFonts w:hint="eastAsia"/>
                <w:color w:val="000000"/>
                <w:sz w:val="24"/>
                <w:szCs w:val="24"/>
              </w:rPr>
              <w:t>′</w:t>
            </w:r>
            <w:r>
              <w:rPr>
                <w:color w:val="000000"/>
                <w:sz w:val="24"/>
                <w:szCs w:val="24"/>
              </w:rPr>
              <w:t>54.965</w:t>
            </w:r>
            <w:r>
              <w:rPr>
                <w:rFonts w:hint="eastAsia"/>
                <w:color w:val="00000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国民经济</w:t>
            </w:r>
          </w:p>
          <w:p>
            <w:pPr>
              <w:adjustRightInd w:val="0"/>
              <w:snapToGrid w:val="0"/>
              <w:jc w:val="center"/>
              <w:rPr>
                <w:color w:val="000000"/>
                <w:sz w:val="24"/>
                <w:szCs w:val="24"/>
              </w:rPr>
            </w:pPr>
            <w:r>
              <w:rPr>
                <w:rFonts w:hint="eastAsia"/>
                <w:color w:val="000000"/>
                <w:sz w:val="24"/>
                <w:szCs w:val="24"/>
              </w:rPr>
              <w:t>行业类别</w:t>
            </w:r>
          </w:p>
        </w:tc>
        <w:tc>
          <w:tcPr>
            <w:tcW w:w="2022" w:type="dxa"/>
            <w:vAlign w:val="center"/>
          </w:tcPr>
          <w:p>
            <w:pPr>
              <w:adjustRightInd w:val="0"/>
              <w:snapToGrid w:val="0"/>
              <w:jc w:val="center"/>
              <w:rPr>
                <w:color w:val="000000"/>
                <w:sz w:val="24"/>
                <w:szCs w:val="24"/>
              </w:rPr>
            </w:pPr>
            <w:r>
              <w:rPr>
                <w:sz w:val="24"/>
                <w:szCs w:val="24"/>
              </w:rPr>
              <w:t>8432</w:t>
            </w:r>
            <w:r>
              <w:rPr>
                <w:rFonts w:hint="eastAsia"/>
                <w:sz w:val="24"/>
                <w:szCs w:val="24"/>
              </w:rPr>
              <w:t>专科疾病防治院（所、站）</w:t>
            </w:r>
          </w:p>
        </w:tc>
        <w:tc>
          <w:tcPr>
            <w:tcW w:w="2200" w:type="dxa"/>
            <w:vAlign w:val="center"/>
          </w:tcPr>
          <w:p>
            <w:pPr>
              <w:adjustRightInd w:val="0"/>
              <w:snapToGrid w:val="0"/>
              <w:jc w:val="center"/>
              <w:rPr>
                <w:color w:val="000000"/>
                <w:sz w:val="24"/>
                <w:szCs w:val="24"/>
              </w:rPr>
            </w:pPr>
            <w:bookmarkStart w:id="1" w:name="_Hlk49843745"/>
            <w:r>
              <w:rPr>
                <w:rFonts w:hint="eastAsia"/>
                <w:color w:val="000000"/>
                <w:sz w:val="24"/>
                <w:szCs w:val="24"/>
              </w:rPr>
              <w:t>建设项目</w:t>
            </w:r>
          </w:p>
          <w:p>
            <w:pPr>
              <w:adjustRightInd w:val="0"/>
              <w:snapToGrid w:val="0"/>
              <w:jc w:val="center"/>
              <w:rPr>
                <w:color w:val="000000"/>
                <w:sz w:val="24"/>
                <w:szCs w:val="24"/>
              </w:rPr>
            </w:pPr>
            <w:r>
              <w:rPr>
                <w:rFonts w:hint="eastAsia"/>
                <w:color w:val="000000"/>
                <w:sz w:val="24"/>
                <w:szCs w:val="24"/>
              </w:rPr>
              <w:t>行业类别</w:t>
            </w:r>
            <w:bookmarkEnd w:id="1"/>
          </w:p>
        </w:tc>
        <w:tc>
          <w:tcPr>
            <w:tcW w:w="2627" w:type="dxa"/>
            <w:vAlign w:val="center"/>
          </w:tcPr>
          <w:p>
            <w:pPr>
              <w:jc w:val="center"/>
              <w:rPr>
                <w:color w:val="000000"/>
                <w:sz w:val="24"/>
                <w:szCs w:val="24"/>
              </w:rPr>
            </w:pPr>
            <w:r>
              <w:rPr>
                <w:rFonts w:hint="eastAsia"/>
                <w:sz w:val="24"/>
                <w:szCs w:val="24"/>
              </w:rPr>
              <w:t>四十九、卫生</w:t>
            </w:r>
            <w:r>
              <w:rPr>
                <w:rFonts w:hint="eastAsia"/>
                <w:sz w:val="24"/>
                <w:szCs w:val="24"/>
                <w:lang w:val="en-US" w:eastAsia="zh-CN"/>
              </w:rPr>
              <w:t>108</w:t>
            </w:r>
            <w:r>
              <w:rPr>
                <w:rFonts w:hint="eastAsia"/>
                <w:sz w:val="24"/>
                <w:szCs w:val="24"/>
              </w:rPr>
              <w:t>专科疾病防治院（所、站）</w:t>
            </w:r>
            <w:r>
              <w:rPr>
                <w:sz w:val="24"/>
                <w:szCs w:val="24"/>
              </w:rPr>
              <w:t>8432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建设性质</w:t>
            </w:r>
          </w:p>
        </w:tc>
        <w:tc>
          <w:tcPr>
            <w:tcW w:w="2022" w:type="dxa"/>
            <w:vAlign w:val="center"/>
          </w:tcPr>
          <w:p>
            <w:pPr>
              <w:jc w:val="left"/>
              <w:rPr>
                <w:color w:val="000000"/>
                <w:sz w:val="24"/>
                <w:szCs w:val="24"/>
              </w:rPr>
            </w:pPr>
            <w:r>
              <w:rPr>
                <w:color w:val="000000"/>
                <w:sz w:val="24"/>
                <w:szCs w:val="24"/>
              </w:rPr>
              <w:sym w:font="Wingdings 2" w:char="00A3"/>
            </w:r>
            <w:r>
              <w:rPr>
                <w:rFonts w:hint="eastAsia"/>
                <w:color w:val="000000"/>
                <w:sz w:val="24"/>
                <w:szCs w:val="24"/>
              </w:rPr>
              <w:t>新建（迁建）</w:t>
            </w:r>
          </w:p>
          <w:p>
            <w:pPr>
              <w:jc w:val="left"/>
              <w:rPr>
                <w:color w:val="000000"/>
                <w:sz w:val="24"/>
                <w:szCs w:val="24"/>
              </w:rPr>
            </w:pPr>
            <w:r>
              <w:rPr>
                <w:color w:val="000000"/>
                <w:sz w:val="24"/>
                <w:szCs w:val="24"/>
              </w:rPr>
              <w:sym w:font="Wingdings 2" w:char="00A3"/>
            </w:r>
            <w:r>
              <w:rPr>
                <w:rFonts w:hint="eastAsia"/>
                <w:color w:val="000000"/>
                <w:sz w:val="24"/>
                <w:szCs w:val="24"/>
              </w:rPr>
              <w:t>改建</w:t>
            </w:r>
          </w:p>
          <w:p>
            <w:pPr>
              <w:jc w:val="left"/>
              <w:rPr>
                <w:color w:val="000000"/>
                <w:sz w:val="24"/>
                <w:szCs w:val="24"/>
              </w:rPr>
            </w:pPr>
            <w:r>
              <w:rPr>
                <w:color w:val="000000"/>
                <w:sz w:val="24"/>
                <w:szCs w:val="24"/>
              </w:rPr>
              <w:sym w:font="Wingdings 2" w:char="0052"/>
            </w:r>
            <w:r>
              <w:rPr>
                <w:rFonts w:hint="eastAsia"/>
                <w:color w:val="000000"/>
                <w:sz w:val="24"/>
                <w:szCs w:val="24"/>
              </w:rPr>
              <w:t>扩建</w:t>
            </w:r>
          </w:p>
          <w:p>
            <w:pPr>
              <w:jc w:val="left"/>
              <w:rPr>
                <w:color w:val="000000"/>
                <w:sz w:val="24"/>
                <w:szCs w:val="24"/>
              </w:rPr>
            </w:pPr>
            <w:r>
              <w:rPr>
                <w:color w:val="000000"/>
                <w:sz w:val="24"/>
                <w:szCs w:val="24"/>
              </w:rPr>
              <w:sym w:font="Wingdings 2" w:char="00A3"/>
            </w:r>
            <w:r>
              <w:rPr>
                <w:rFonts w:hint="eastAsia"/>
                <w:color w:val="000000"/>
                <w:sz w:val="24"/>
                <w:szCs w:val="24"/>
              </w:rPr>
              <w:t>技术改造</w:t>
            </w:r>
          </w:p>
        </w:tc>
        <w:tc>
          <w:tcPr>
            <w:tcW w:w="2200" w:type="dxa"/>
            <w:vAlign w:val="center"/>
          </w:tcPr>
          <w:p>
            <w:pPr>
              <w:adjustRightInd w:val="0"/>
              <w:snapToGrid w:val="0"/>
              <w:jc w:val="center"/>
              <w:rPr>
                <w:color w:val="000000"/>
                <w:sz w:val="24"/>
                <w:szCs w:val="24"/>
              </w:rPr>
            </w:pPr>
            <w:r>
              <w:rPr>
                <w:rFonts w:hint="eastAsia"/>
                <w:color w:val="000000"/>
                <w:sz w:val="24"/>
                <w:szCs w:val="24"/>
              </w:rPr>
              <w:t>建设项目</w:t>
            </w:r>
          </w:p>
          <w:p>
            <w:pPr>
              <w:adjustRightInd w:val="0"/>
              <w:snapToGrid w:val="0"/>
              <w:jc w:val="center"/>
              <w:rPr>
                <w:color w:val="000000"/>
                <w:sz w:val="24"/>
                <w:szCs w:val="24"/>
              </w:rPr>
            </w:pPr>
            <w:r>
              <w:rPr>
                <w:rFonts w:hint="eastAsia"/>
                <w:color w:val="000000"/>
                <w:sz w:val="24"/>
                <w:szCs w:val="24"/>
              </w:rPr>
              <w:t>申报情形</w:t>
            </w:r>
          </w:p>
        </w:tc>
        <w:tc>
          <w:tcPr>
            <w:tcW w:w="2627" w:type="dxa"/>
            <w:vAlign w:val="center"/>
          </w:tcPr>
          <w:p>
            <w:pPr>
              <w:jc w:val="left"/>
              <w:rPr>
                <w:color w:val="000000"/>
                <w:sz w:val="24"/>
                <w:szCs w:val="24"/>
              </w:rPr>
            </w:pPr>
            <w:r>
              <w:rPr>
                <w:color w:val="000000"/>
                <w:sz w:val="24"/>
                <w:szCs w:val="24"/>
              </w:rPr>
              <w:sym w:font="Wingdings 2" w:char="0052"/>
            </w:r>
            <w:r>
              <w:rPr>
                <w:rFonts w:hint="eastAsia"/>
                <w:color w:val="000000"/>
                <w:sz w:val="24"/>
                <w:szCs w:val="24"/>
              </w:rPr>
              <w:t>首次申报项目</w:t>
            </w:r>
            <w:r>
              <w:rPr>
                <w:color w:val="000000"/>
                <w:sz w:val="24"/>
                <w:szCs w:val="24"/>
              </w:rPr>
              <w:t xml:space="preserve">             </w:t>
            </w:r>
          </w:p>
          <w:p>
            <w:pPr>
              <w:jc w:val="left"/>
              <w:rPr>
                <w:color w:val="000000"/>
                <w:sz w:val="24"/>
                <w:szCs w:val="24"/>
              </w:rPr>
            </w:pPr>
            <w:r>
              <w:rPr>
                <w:color w:val="000000"/>
                <w:sz w:val="24"/>
                <w:szCs w:val="24"/>
              </w:rPr>
              <w:sym w:font="Wingdings 2" w:char="00A3"/>
            </w:r>
            <w:r>
              <w:rPr>
                <w:rFonts w:hint="eastAsia"/>
                <w:color w:val="000000"/>
                <w:sz w:val="24"/>
                <w:szCs w:val="24"/>
              </w:rPr>
              <w:t>不予批准后再次申报项目</w:t>
            </w:r>
          </w:p>
          <w:p>
            <w:pPr>
              <w:jc w:val="left"/>
              <w:rPr>
                <w:color w:val="000000"/>
                <w:sz w:val="24"/>
                <w:szCs w:val="24"/>
              </w:rPr>
            </w:pPr>
            <w:r>
              <w:rPr>
                <w:color w:val="000000"/>
                <w:sz w:val="24"/>
                <w:szCs w:val="24"/>
              </w:rPr>
              <w:sym w:font="Wingdings 2" w:char="00A3"/>
            </w:r>
            <w:r>
              <w:rPr>
                <w:rFonts w:hint="eastAsia"/>
                <w:color w:val="000000"/>
                <w:sz w:val="24"/>
                <w:szCs w:val="24"/>
              </w:rPr>
              <w:t>超五年重新审核项目</w:t>
            </w:r>
            <w:r>
              <w:rPr>
                <w:color w:val="000000"/>
                <w:sz w:val="24"/>
                <w:szCs w:val="24"/>
              </w:rPr>
              <w:t xml:space="preserve">     </w:t>
            </w:r>
          </w:p>
          <w:p>
            <w:pPr>
              <w:jc w:val="left"/>
              <w:rPr>
                <w:color w:val="000000"/>
                <w:sz w:val="24"/>
                <w:szCs w:val="24"/>
              </w:rPr>
            </w:pPr>
            <w:r>
              <w:rPr>
                <w:color w:val="000000"/>
                <w:sz w:val="24"/>
                <w:szCs w:val="24"/>
              </w:rPr>
              <w:sym w:font="Wingdings 2" w:char="00A3"/>
            </w:r>
            <w:r>
              <w:rPr>
                <w:rFonts w:hint="eastAsia"/>
                <w:color w:val="000000"/>
                <w:sz w:val="24"/>
                <w:szCs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项目审批（核准</w:t>
            </w:r>
            <w:r>
              <w:rPr>
                <w:color w:val="000000"/>
                <w:sz w:val="24"/>
                <w:szCs w:val="24"/>
              </w:rPr>
              <w:t>/</w:t>
            </w:r>
          </w:p>
          <w:p>
            <w:pPr>
              <w:adjustRightInd w:val="0"/>
              <w:snapToGrid w:val="0"/>
              <w:jc w:val="center"/>
              <w:rPr>
                <w:color w:val="000000"/>
                <w:sz w:val="24"/>
                <w:szCs w:val="24"/>
              </w:rPr>
            </w:pPr>
            <w:r>
              <w:rPr>
                <w:rFonts w:hint="eastAsia"/>
                <w:color w:val="000000"/>
                <w:sz w:val="24"/>
                <w:szCs w:val="24"/>
              </w:rPr>
              <w:t>备案）部门（选填）</w:t>
            </w:r>
          </w:p>
        </w:tc>
        <w:tc>
          <w:tcPr>
            <w:tcW w:w="2022" w:type="dxa"/>
            <w:vAlign w:val="center"/>
          </w:tcPr>
          <w:p>
            <w:pPr>
              <w:adjustRightInd w:val="0"/>
              <w:snapToGrid w:val="0"/>
              <w:jc w:val="center"/>
              <w:rPr>
                <w:color w:val="000000"/>
                <w:sz w:val="24"/>
                <w:szCs w:val="24"/>
              </w:rPr>
            </w:pPr>
            <w:r>
              <w:rPr>
                <w:color w:val="000000"/>
                <w:sz w:val="24"/>
                <w:szCs w:val="24"/>
              </w:rPr>
              <w:t>/</w:t>
            </w:r>
          </w:p>
        </w:tc>
        <w:tc>
          <w:tcPr>
            <w:tcW w:w="2200" w:type="dxa"/>
            <w:vAlign w:val="center"/>
          </w:tcPr>
          <w:p>
            <w:pPr>
              <w:adjustRightInd w:val="0"/>
              <w:snapToGrid w:val="0"/>
              <w:jc w:val="center"/>
              <w:rPr>
                <w:color w:val="000000"/>
                <w:sz w:val="24"/>
                <w:szCs w:val="24"/>
              </w:rPr>
            </w:pPr>
            <w:r>
              <w:rPr>
                <w:rFonts w:hint="eastAsia"/>
                <w:color w:val="000000"/>
                <w:sz w:val="24"/>
                <w:szCs w:val="24"/>
              </w:rPr>
              <w:t>项目审批（核准</w:t>
            </w:r>
            <w:r>
              <w:rPr>
                <w:color w:val="000000"/>
                <w:sz w:val="24"/>
                <w:szCs w:val="24"/>
              </w:rPr>
              <w:t>/</w:t>
            </w:r>
          </w:p>
          <w:p>
            <w:pPr>
              <w:adjustRightInd w:val="0"/>
              <w:snapToGrid w:val="0"/>
              <w:jc w:val="center"/>
              <w:rPr>
                <w:color w:val="000000"/>
                <w:sz w:val="24"/>
                <w:szCs w:val="24"/>
              </w:rPr>
            </w:pPr>
            <w:r>
              <w:rPr>
                <w:rFonts w:hint="eastAsia"/>
                <w:color w:val="000000"/>
                <w:sz w:val="24"/>
                <w:szCs w:val="24"/>
              </w:rPr>
              <w:t>备案）文号（选填）</w:t>
            </w:r>
          </w:p>
        </w:tc>
        <w:tc>
          <w:tcPr>
            <w:tcW w:w="2627" w:type="dxa"/>
            <w:vAlign w:val="center"/>
          </w:tcPr>
          <w:p>
            <w:pPr>
              <w:adjustRightInd w:val="0"/>
              <w:snapToGrid w:val="0"/>
              <w:jc w:val="center"/>
              <w:rPr>
                <w:color w:val="000000"/>
                <w:sz w:val="24"/>
                <w:szCs w:val="24"/>
              </w:rPr>
            </w:pPr>
            <w:r>
              <w:rPr>
                <w:color w:val="00000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总投资（万元）</w:t>
            </w:r>
          </w:p>
        </w:tc>
        <w:tc>
          <w:tcPr>
            <w:tcW w:w="2022" w:type="dxa"/>
            <w:vAlign w:val="center"/>
          </w:tcPr>
          <w:p>
            <w:pPr>
              <w:adjustRightInd w:val="0"/>
              <w:snapToGrid w:val="0"/>
              <w:jc w:val="center"/>
              <w:rPr>
                <w:color w:val="000000"/>
                <w:sz w:val="24"/>
                <w:szCs w:val="24"/>
              </w:rPr>
            </w:pPr>
            <w:r>
              <w:rPr>
                <w:color w:val="000000"/>
                <w:sz w:val="24"/>
                <w:szCs w:val="24"/>
              </w:rPr>
              <w:t>5000</w:t>
            </w:r>
          </w:p>
        </w:tc>
        <w:tc>
          <w:tcPr>
            <w:tcW w:w="2200"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环保投资（万元）</w:t>
            </w:r>
          </w:p>
        </w:tc>
        <w:tc>
          <w:tcPr>
            <w:tcW w:w="2627" w:type="dxa"/>
            <w:vAlign w:val="center"/>
          </w:tcPr>
          <w:p>
            <w:pPr>
              <w:adjustRightInd w:val="0"/>
              <w:snapToGrid w:val="0"/>
              <w:jc w:val="center"/>
              <w:rPr>
                <w:rFonts w:hint="default"/>
                <w:color w:val="000000"/>
                <w:sz w:val="24"/>
                <w:szCs w:val="24"/>
              </w:rPr>
            </w:pPr>
            <w:r>
              <w:rPr>
                <w:rFonts w:hint="eastAsia"/>
                <w:color w:val="000000"/>
                <w:sz w:val="24"/>
                <w:szCs w:val="24"/>
                <w:lang w:val="en-US" w:eastAsia="zh-CN"/>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环保投资占比（</w:t>
            </w:r>
            <w:r>
              <w:rPr>
                <w:color w:val="000000"/>
                <w:sz w:val="24"/>
                <w:szCs w:val="24"/>
              </w:rPr>
              <w:t>%</w:t>
            </w:r>
            <w:r>
              <w:rPr>
                <w:rFonts w:hint="eastAsia"/>
                <w:color w:val="000000"/>
                <w:sz w:val="24"/>
                <w:szCs w:val="24"/>
              </w:rPr>
              <w:t>）</w:t>
            </w:r>
          </w:p>
        </w:tc>
        <w:tc>
          <w:tcPr>
            <w:tcW w:w="2022" w:type="dxa"/>
            <w:vAlign w:val="center"/>
          </w:tcPr>
          <w:p>
            <w:pPr>
              <w:adjustRightInd w:val="0"/>
              <w:snapToGrid w:val="0"/>
              <w:jc w:val="center"/>
              <w:rPr>
                <w:rFonts w:hint="default"/>
                <w:color w:val="000000"/>
                <w:sz w:val="24"/>
                <w:szCs w:val="24"/>
              </w:rPr>
            </w:pPr>
            <w:r>
              <w:rPr>
                <w:rFonts w:hint="eastAsia"/>
                <w:color w:val="000000"/>
                <w:sz w:val="24"/>
                <w:szCs w:val="24"/>
                <w:lang w:val="en-US" w:eastAsia="zh-CN"/>
              </w:rPr>
              <w:t>0.4</w:t>
            </w:r>
          </w:p>
        </w:tc>
        <w:tc>
          <w:tcPr>
            <w:tcW w:w="2200"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施工工期</w:t>
            </w:r>
          </w:p>
        </w:tc>
        <w:tc>
          <w:tcPr>
            <w:tcW w:w="2627" w:type="dxa"/>
            <w:vAlign w:val="center"/>
          </w:tcPr>
          <w:p>
            <w:pPr>
              <w:adjustRightInd w:val="0"/>
              <w:snapToGrid w:val="0"/>
              <w:jc w:val="center"/>
              <w:rPr>
                <w:color w:val="000000"/>
                <w:sz w:val="24"/>
                <w:szCs w:val="24"/>
              </w:rPr>
            </w:pPr>
            <w:r>
              <w:rPr>
                <w:color w:val="000000"/>
                <w:sz w:val="24"/>
                <w:szCs w:val="24"/>
              </w:rPr>
              <w:t>24</w:t>
            </w:r>
            <w:r>
              <w:rPr>
                <w:rFonts w:hint="eastAsia"/>
                <w:color w:val="000000"/>
                <w:sz w:val="24"/>
                <w:szCs w:val="24"/>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75" w:type="dxa"/>
            <w:tcMar>
              <w:top w:w="16" w:type="dxa"/>
              <w:left w:w="16" w:type="dxa"/>
              <w:right w:w="16" w:type="dxa"/>
            </w:tcMar>
            <w:vAlign w:val="center"/>
          </w:tcPr>
          <w:p>
            <w:pPr>
              <w:adjustRightInd w:val="0"/>
              <w:snapToGrid w:val="0"/>
              <w:jc w:val="center"/>
              <w:rPr>
                <w:color w:val="000000"/>
                <w:sz w:val="24"/>
                <w:szCs w:val="24"/>
              </w:rPr>
            </w:pPr>
            <w:r>
              <w:rPr>
                <w:rFonts w:hint="eastAsia"/>
                <w:color w:val="000000"/>
                <w:sz w:val="24"/>
                <w:szCs w:val="24"/>
              </w:rPr>
              <w:t>是否开工建设</w:t>
            </w:r>
          </w:p>
        </w:tc>
        <w:tc>
          <w:tcPr>
            <w:tcW w:w="2022" w:type="dxa"/>
            <w:vAlign w:val="center"/>
          </w:tcPr>
          <w:p>
            <w:pPr>
              <w:adjustRightInd w:val="0"/>
              <w:snapToGrid w:val="0"/>
              <w:rPr>
                <w:color w:val="000000"/>
                <w:sz w:val="24"/>
                <w:szCs w:val="24"/>
              </w:rPr>
            </w:pPr>
            <w:r>
              <w:rPr>
                <w:color w:val="000000"/>
                <w:sz w:val="24"/>
                <w:szCs w:val="24"/>
              </w:rPr>
              <w:sym w:font="Wingdings 2" w:char="0052"/>
            </w:r>
            <w:r>
              <w:rPr>
                <w:rFonts w:hint="eastAsia"/>
                <w:color w:val="000000"/>
                <w:sz w:val="24"/>
                <w:szCs w:val="24"/>
              </w:rPr>
              <w:t>否</w:t>
            </w:r>
          </w:p>
          <w:p>
            <w:pPr>
              <w:adjustRightInd w:val="0"/>
              <w:snapToGrid w:val="0"/>
              <w:rPr>
                <w:color w:val="000000"/>
                <w:sz w:val="24"/>
                <w:szCs w:val="24"/>
              </w:rPr>
            </w:pPr>
            <w:r>
              <w:rPr>
                <w:color w:val="000000"/>
                <w:sz w:val="24"/>
                <w:szCs w:val="24"/>
              </w:rPr>
              <w:sym w:font="Wingdings 2" w:char="00A3"/>
            </w:r>
            <w:r>
              <w:rPr>
                <w:rFonts w:hint="eastAsia"/>
                <w:color w:val="000000"/>
                <w:sz w:val="24"/>
                <w:szCs w:val="24"/>
              </w:rPr>
              <w:t>是：</w:t>
            </w:r>
            <w:r>
              <w:rPr>
                <w:color w:val="000000"/>
                <w:sz w:val="24"/>
                <w:szCs w:val="24"/>
                <w:u w:val="single"/>
              </w:rPr>
              <w:t xml:space="preserve">             </w:t>
            </w:r>
          </w:p>
        </w:tc>
        <w:tc>
          <w:tcPr>
            <w:tcW w:w="2200" w:type="dxa"/>
            <w:tcMar>
              <w:top w:w="16" w:type="dxa"/>
              <w:left w:w="16" w:type="dxa"/>
              <w:right w:w="16" w:type="dxa"/>
            </w:tcMar>
            <w:vAlign w:val="center"/>
          </w:tcPr>
          <w:p>
            <w:pPr>
              <w:adjustRightInd w:val="0"/>
              <w:snapToGrid w:val="0"/>
              <w:jc w:val="center"/>
              <w:rPr>
                <w:color w:val="000000"/>
                <w:spacing w:val="-6"/>
                <w:sz w:val="24"/>
                <w:szCs w:val="24"/>
              </w:rPr>
            </w:pPr>
            <w:r>
              <w:rPr>
                <w:rFonts w:hint="eastAsia"/>
                <w:color w:val="000000"/>
                <w:spacing w:val="-6"/>
                <w:sz w:val="24"/>
                <w:szCs w:val="24"/>
              </w:rPr>
              <w:t>用地（用海）</w:t>
            </w:r>
          </w:p>
          <w:p>
            <w:pPr>
              <w:adjustRightInd w:val="0"/>
              <w:snapToGrid w:val="0"/>
              <w:jc w:val="center"/>
              <w:rPr>
                <w:color w:val="000000"/>
                <w:sz w:val="24"/>
                <w:szCs w:val="24"/>
              </w:rPr>
            </w:pPr>
            <w:r>
              <w:rPr>
                <w:rFonts w:hint="eastAsia"/>
                <w:color w:val="000000"/>
                <w:spacing w:val="-6"/>
                <w:sz w:val="24"/>
                <w:szCs w:val="24"/>
              </w:rPr>
              <w:t>面积（</w:t>
            </w:r>
            <w:r>
              <w:rPr>
                <w:color w:val="000000"/>
                <w:spacing w:val="-6"/>
                <w:sz w:val="24"/>
                <w:szCs w:val="24"/>
              </w:rPr>
              <w:t>m</w:t>
            </w:r>
            <w:r>
              <w:rPr>
                <w:color w:val="000000"/>
                <w:spacing w:val="-6"/>
                <w:sz w:val="24"/>
                <w:szCs w:val="24"/>
                <w:vertAlign w:val="superscript"/>
              </w:rPr>
              <w:t>2</w:t>
            </w:r>
            <w:r>
              <w:rPr>
                <w:rFonts w:hint="eastAsia"/>
                <w:color w:val="000000"/>
                <w:spacing w:val="-6"/>
                <w:sz w:val="24"/>
                <w:szCs w:val="24"/>
              </w:rPr>
              <w:t>）</w:t>
            </w:r>
          </w:p>
        </w:tc>
        <w:tc>
          <w:tcPr>
            <w:tcW w:w="2627" w:type="dxa"/>
            <w:vAlign w:val="center"/>
          </w:tcPr>
          <w:p>
            <w:pPr>
              <w:adjustRightInd w:val="0"/>
              <w:snapToGrid w:val="0"/>
              <w:jc w:val="center"/>
              <w:rPr>
                <w:color w:val="000000"/>
                <w:sz w:val="24"/>
                <w:szCs w:val="24"/>
              </w:rPr>
            </w:pPr>
            <w:r>
              <w:rPr>
                <w:kern w:val="0"/>
                <w:sz w:val="24"/>
                <w:szCs w:val="24"/>
                <w:lang w:bidi="ar"/>
              </w:rPr>
              <w:t>15990.67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75" w:type="dxa"/>
            <w:vAlign w:val="center"/>
          </w:tcPr>
          <w:p>
            <w:pPr>
              <w:autoSpaceDE w:val="0"/>
              <w:autoSpaceDN w:val="0"/>
              <w:adjustRightInd w:val="0"/>
              <w:snapToGrid w:val="0"/>
              <w:jc w:val="center"/>
              <w:rPr>
                <w:color w:val="000000"/>
                <w:kern w:val="0"/>
                <w:sz w:val="24"/>
                <w:szCs w:val="24"/>
              </w:rPr>
            </w:pPr>
            <w:r>
              <w:rPr>
                <w:rFonts w:hint="eastAsia"/>
                <w:color w:val="000000"/>
                <w:kern w:val="0"/>
                <w:sz w:val="24"/>
                <w:szCs w:val="24"/>
              </w:rPr>
              <w:t>专项评价设置情况</w:t>
            </w:r>
          </w:p>
        </w:tc>
        <w:tc>
          <w:tcPr>
            <w:tcW w:w="6849" w:type="dxa"/>
            <w:gridSpan w:val="3"/>
            <w:vAlign w:val="center"/>
          </w:tcPr>
          <w:p>
            <w:pPr>
              <w:autoSpaceDE w:val="0"/>
              <w:autoSpaceDN w:val="0"/>
              <w:adjustRightInd w:val="0"/>
              <w:snapToGrid w:val="0"/>
              <w:jc w:val="center"/>
              <w:rPr>
                <w:color w:val="000000"/>
                <w:kern w:val="0"/>
                <w:sz w:val="24"/>
                <w:szCs w:val="24"/>
              </w:rPr>
            </w:pPr>
            <w:r>
              <w:rPr>
                <w:rFonts w:hint="eastAsia"/>
                <w:color w:val="000000"/>
                <w:kern w:val="0"/>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75" w:type="dxa"/>
            <w:vAlign w:val="center"/>
          </w:tcPr>
          <w:p>
            <w:pPr>
              <w:autoSpaceDE w:val="0"/>
              <w:autoSpaceDN w:val="0"/>
              <w:adjustRightInd w:val="0"/>
              <w:snapToGrid w:val="0"/>
              <w:jc w:val="center"/>
              <w:rPr>
                <w:color w:val="000000"/>
                <w:kern w:val="0"/>
                <w:sz w:val="24"/>
                <w:szCs w:val="24"/>
              </w:rPr>
            </w:pPr>
            <w:r>
              <w:rPr>
                <w:rFonts w:hint="eastAsia"/>
                <w:color w:val="000000"/>
                <w:sz w:val="24"/>
                <w:szCs w:val="24"/>
              </w:rPr>
              <w:t>规划情况</w:t>
            </w:r>
          </w:p>
        </w:tc>
        <w:tc>
          <w:tcPr>
            <w:tcW w:w="6849" w:type="dxa"/>
            <w:gridSpan w:val="3"/>
            <w:vAlign w:val="center"/>
          </w:tcPr>
          <w:p>
            <w:pPr>
              <w:autoSpaceDE w:val="0"/>
              <w:autoSpaceDN w:val="0"/>
              <w:adjustRightInd w:val="0"/>
              <w:snapToGrid w:val="0"/>
              <w:jc w:val="center"/>
              <w:rPr>
                <w:color w:val="000000"/>
                <w:kern w:val="0"/>
                <w:sz w:val="24"/>
                <w:szCs w:val="24"/>
              </w:rPr>
            </w:pPr>
            <w:r>
              <w:rPr>
                <w:rFonts w:hint="eastAsia"/>
                <w:color w:val="000000"/>
                <w:kern w:val="0"/>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75" w:type="dxa"/>
            <w:vAlign w:val="center"/>
          </w:tcPr>
          <w:p>
            <w:pPr>
              <w:adjustRightInd w:val="0"/>
              <w:snapToGrid w:val="0"/>
              <w:jc w:val="center"/>
              <w:rPr>
                <w:color w:val="000000"/>
                <w:sz w:val="24"/>
                <w:szCs w:val="24"/>
              </w:rPr>
            </w:pPr>
            <w:r>
              <w:rPr>
                <w:rFonts w:hint="eastAsia"/>
                <w:color w:val="000000"/>
                <w:sz w:val="24"/>
                <w:szCs w:val="24"/>
              </w:rPr>
              <w:t>规划环境影响</w:t>
            </w:r>
          </w:p>
          <w:p>
            <w:pPr>
              <w:adjustRightInd w:val="0"/>
              <w:snapToGrid w:val="0"/>
              <w:jc w:val="center"/>
              <w:rPr>
                <w:color w:val="000000"/>
                <w:kern w:val="0"/>
                <w:sz w:val="24"/>
                <w:szCs w:val="24"/>
              </w:rPr>
            </w:pPr>
            <w:r>
              <w:rPr>
                <w:rFonts w:hint="eastAsia"/>
                <w:color w:val="000000"/>
                <w:sz w:val="24"/>
                <w:szCs w:val="24"/>
              </w:rPr>
              <w:t>评价情况</w:t>
            </w:r>
          </w:p>
        </w:tc>
        <w:tc>
          <w:tcPr>
            <w:tcW w:w="6849" w:type="dxa"/>
            <w:gridSpan w:val="3"/>
            <w:vAlign w:val="center"/>
          </w:tcPr>
          <w:p>
            <w:pPr>
              <w:spacing w:line="360" w:lineRule="auto"/>
              <w:jc w:val="center"/>
              <w:rPr>
                <w:color w:val="000000"/>
                <w:kern w:val="0"/>
                <w:sz w:val="24"/>
                <w:szCs w:val="24"/>
              </w:rPr>
            </w:pPr>
            <w:r>
              <w:rPr>
                <w:rFonts w:hint="eastAsia"/>
                <w:color w:val="000000"/>
                <w:kern w:val="0"/>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75" w:type="dxa"/>
            <w:vAlign w:val="center"/>
          </w:tcPr>
          <w:p>
            <w:pPr>
              <w:autoSpaceDE w:val="0"/>
              <w:autoSpaceDN w:val="0"/>
              <w:adjustRightInd w:val="0"/>
              <w:snapToGrid w:val="0"/>
              <w:jc w:val="center"/>
              <w:rPr>
                <w:color w:val="000000"/>
                <w:kern w:val="0"/>
                <w:sz w:val="24"/>
                <w:szCs w:val="24"/>
              </w:rPr>
            </w:pPr>
            <w:r>
              <w:rPr>
                <w:rFonts w:hint="eastAsia"/>
                <w:color w:val="000000"/>
                <w:kern w:val="0"/>
                <w:sz w:val="24"/>
                <w:szCs w:val="24"/>
              </w:rPr>
              <w:t>规划及规划环境</w:t>
            </w:r>
          </w:p>
          <w:p>
            <w:pPr>
              <w:autoSpaceDE w:val="0"/>
              <w:autoSpaceDN w:val="0"/>
              <w:adjustRightInd w:val="0"/>
              <w:snapToGrid w:val="0"/>
              <w:jc w:val="center"/>
              <w:rPr>
                <w:color w:val="000000"/>
                <w:kern w:val="0"/>
                <w:sz w:val="24"/>
                <w:szCs w:val="24"/>
              </w:rPr>
            </w:pPr>
            <w:r>
              <w:rPr>
                <w:rFonts w:hint="eastAsia"/>
                <w:color w:val="000000"/>
                <w:kern w:val="0"/>
                <w:sz w:val="24"/>
                <w:szCs w:val="24"/>
              </w:rPr>
              <w:t>影响评价符合性分析</w:t>
            </w:r>
          </w:p>
        </w:tc>
        <w:tc>
          <w:tcPr>
            <w:tcW w:w="6849" w:type="dxa"/>
            <w:gridSpan w:val="3"/>
            <w:vAlign w:val="center"/>
          </w:tcPr>
          <w:p>
            <w:pPr>
              <w:spacing w:line="360" w:lineRule="auto"/>
              <w:jc w:val="center"/>
              <w:rPr>
                <w:color w:val="000000"/>
                <w:kern w:val="0"/>
                <w:sz w:val="24"/>
                <w:szCs w:val="24"/>
              </w:rPr>
            </w:pPr>
            <w:r>
              <w:rPr>
                <w:rFonts w:hint="eastAsia" w:hAnsi="仿宋" w:cs="宋体"/>
                <w:kern w:val="0"/>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975" w:type="dxa"/>
            <w:vAlign w:val="center"/>
          </w:tcPr>
          <w:p>
            <w:pPr>
              <w:autoSpaceDE w:val="0"/>
              <w:autoSpaceDN w:val="0"/>
              <w:adjustRightInd w:val="0"/>
              <w:snapToGrid w:val="0"/>
              <w:jc w:val="center"/>
              <w:rPr>
                <w:color w:val="000000"/>
                <w:kern w:val="0"/>
                <w:sz w:val="24"/>
                <w:szCs w:val="24"/>
              </w:rPr>
            </w:pPr>
            <w:r>
              <w:rPr>
                <w:rFonts w:hint="eastAsia"/>
                <w:color w:val="000000"/>
                <w:kern w:val="0"/>
                <w:sz w:val="24"/>
                <w:szCs w:val="24"/>
              </w:rPr>
              <w:t>其他符合性分析</w:t>
            </w:r>
          </w:p>
        </w:tc>
        <w:tc>
          <w:tcPr>
            <w:tcW w:w="6849" w:type="dxa"/>
            <w:gridSpan w:val="3"/>
            <w:vAlign w:val="center"/>
          </w:tcPr>
          <w:p>
            <w:pPr>
              <w:pStyle w:val="43"/>
              <w:jc w:val="both"/>
              <w:rPr>
                <w:rFonts w:ascii="宋体" w:hAnsi="宋体" w:cs="宋体"/>
                <w:b w:val="0"/>
                <w:bCs/>
                <w:sz w:val="24"/>
                <w:szCs w:val="24"/>
              </w:rPr>
            </w:pPr>
          </w:p>
          <w:p>
            <w:pPr>
              <w:spacing w:line="360" w:lineRule="auto"/>
              <w:ind w:firstLine="482" w:firstLineChars="200"/>
              <w:rPr>
                <w:b/>
                <w:bCs/>
                <w:color w:val="000000"/>
                <w:sz w:val="24"/>
                <w:szCs w:val="24"/>
              </w:rPr>
            </w:pPr>
            <w:r>
              <w:rPr>
                <w:b/>
                <w:bCs/>
                <w:color w:val="000000"/>
                <w:sz w:val="24"/>
                <w:szCs w:val="24"/>
              </w:rPr>
              <w:t>1、“三线一单”符合性分析</w:t>
            </w:r>
          </w:p>
          <w:p>
            <w:pPr>
              <w:spacing w:line="360" w:lineRule="auto"/>
              <w:ind w:firstLine="482" w:firstLineChars="200"/>
              <w:rPr>
                <w:b/>
                <w:bCs/>
                <w:color w:val="000000"/>
                <w:sz w:val="24"/>
                <w:szCs w:val="24"/>
              </w:rPr>
            </w:pPr>
            <w:r>
              <w:rPr>
                <w:rFonts w:hint="eastAsia"/>
                <w:b/>
                <w:bCs/>
                <w:color w:val="000000"/>
                <w:sz w:val="24"/>
                <w:szCs w:val="24"/>
              </w:rPr>
              <w:t>（1）与“一核一带一区”区域管控要求的符合性分析</w:t>
            </w:r>
          </w:p>
          <w:p>
            <w:pPr>
              <w:spacing w:line="360" w:lineRule="auto"/>
              <w:ind w:firstLine="480" w:firstLineChars="200"/>
              <w:rPr>
                <w:color w:val="000000"/>
                <w:sz w:val="24"/>
                <w:szCs w:val="24"/>
              </w:rPr>
            </w:pPr>
            <w:r>
              <w:rPr>
                <w:rFonts w:hint="eastAsia"/>
                <w:color w:val="000000"/>
                <w:sz w:val="24"/>
                <w:szCs w:val="24"/>
              </w:rPr>
              <w:t>该建设</w:t>
            </w:r>
            <w:r>
              <w:rPr>
                <w:color w:val="000000"/>
                <w:sz w:val="24"/>
                <w:szCs w:val="24"/>
              </w:rPr>
              <w:t>项目</w:t>
            </w:r>
            <w:r>
              <w:rPr>
                <w:rFonts w:hint="eastAsia"/>
                <w:color w:val="000000"/>
                <w:sz w:val="24"/>
                <w:szCs w:val="24"/>
              </w:rPr>
              <w:t>建设地点为</w:t>
            </w:r>
            <w:r>
              <w:rPr>
                <w:rFonts w:hint="eastAsia" w:ascii="宋体" w:hAnsi="宋体" w:cs="宋体"/>
                <w:color w:val="000000"/>
                <w:sz w:val="24"/>
                <w:szCs w:val="24"/>
              </w:rPr>
              <w:t>连州市</w:t>
            </w:r>
            <w:r>
              <w:rPr>
                <w:rFonts w:hint="eastAsia" w:ascii="宋体" w:hAnsi="宋体"/>
                <w:sz w:val="24"/>
                <w:szCs w:val="24"/>
              </w:rPr>
              <w:t>连州镇三古滩村委会马公岭</w:t>
            </w:r>
            <w:r>
              <w:rPr>
                <w:rFonts w:hint="eastAsia" w:ascii="宋体" w:hAnsi="宋体"/>
                <w:sz w:val="24"/>
                <w:szCs w:val="24"/>
              </w:rPr>
              <w:t>，</w:t>
            </w:r>
            <w:r>
              <w:rPr>
                <w:rFonts w:hint="eastAsia"/>
                <w:color w:val="000000"/>
                <w:sz w:val="24"/>
                <w:szCs w:val="24"/>
              </w:rPr>
              <w:t>属于北部生态发展区，</w:t>
            </w:r>
            <w:r>
              <w:rPr>
                <w:color w:val="000000"/>
                <w:sz w:val="24"/>
                <w:szCs w:val="24"/>
              </w:rPr>
              <w:t>根据《广东省“三线一单”生态环境分区管控方案》</w:t>
            </w:r>
            <w:r>
              <w:rPr>
                <w:rFonts w:hint="eastAsia"/>
                <w:color w:val="000000"/>
                <w:sz w:val="24"/>
                <w:szCs w:val="24"/>
              </w:rPr>
              <w:t>的要求，坚持生态优先，强化生态系统保护与修复，筑牢北部生态屏障。项目“一核一带一区”区域管控要求的符合性分析</w:t>
            </w:r>
            <w:r>
              <w:rPr>
                <w:color w:val="000000"/>
                <w:sz w:val="24"/>
                <w:szCs w:val="24"/>
              </w:rPr>
              <w:t>如下表1-1。</w:t>
            </w:r>
          </w:p>
          <w:p>
            <w:pPr>
              <w:adjustRightInd w:val="0"/>
              <w:snapToGrid w:val="0"/>
              <w:jc w:val="center"/>
              <w:rPr>
                <w:b/>
                <w:color w:val="000000"/>
                <w:sz w:val="24"/>
                <w:szCs w:val="24"/>
              </w:rPr>
            </w:pPr>
            <w:r>
              <w:rPr>
                <w:b/>
                <w:color w:val="000000"/>
                <w:sz w:val="24"/>
                <w:szCs w:val="24"/>
              </w:rPr>
              <w:t>表1-1</w:t>
            </w:r>
            <w:r>
              <w:rPr>
                <w:rFonts w:hint="eastAsia"/>
                <w:b/>
                <w:color w:val="000000"/>
                <w:sz w:val="24"/>
                <w:szCs w:val="24"/>
              </w:rPr>
              <w:t xml:space="preserve"> 项目“一核一带一区”区域管控要求的符合性分析</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4304"/>
              <w:gridCol w:w="18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tcBorders>
                    <w:bottom w:val="single" w:color="auto" w:sz="12" w:space="0"/>
                  </w:tcBorders>
                  <w:vAlign w:val="center"/>
                </w:tcPr>
                <w:p>
                  <w:pPr>
                    <w:jc w:val="center"/>
                    <w:rPr>
                      <w:color w:val="000000"/>
                      <w:sz w:val="24"/>
                      <w:szCs w:val="24"/>
                    </w:rPr>
                  </w:pPr>
                  <w:r>
                    <w:rPr>
                      <w:rFonts w:hint="eastAsia"/>
                      <w:color w:val="000000"/>
                      <w:sz w:val="24"/>
                      <w:szCs w:val="24"/>
                    </w:rPr>
                    <w:t>类别</w:t>
                  </w:r>
                </w:p>
              </w:tc>
              <w:tc>
                <w:tcPr>
                  <w:tcW w:w="3304" w:type="pct"/>
                  <w:tcBorders>
                    <w:bottom w:val="single" w:color="auto" w:sz="12" w:space="0"/>
                  </w:tcBorders>
                  <w:vAlign w:val="center"/>
                </w:tcPr>
                <w:p>
                  <w:pPr>
                    <w:jc w:val="center"/>
                    <w:rPr>
                      <w:color w:val="000000"/>
                      <w:sz w:val="24"/>
                      <w:szCs w:val="24"/>
                    </w:rPr>
                  </w:pPr>
                  <w:r>
                    <w:rPr>
                      <w:rFonts w:hint="eastAsia"/>
                      <w:color w:val="000000"/>
                      <w:sz w:val="24"/>
                      <w:szCs w:val="24"/>
                    </w:rPr>
                    <w:t>内容</w:t>
                  </w:r>
                </w:p>
              </w:tc>
              <w:tc>
                <w:tcPr>
                  <w:tcW w:w="1408" w:type="pct"/>
                  <w:tcBorders>
                    <w:bottom w:val="single" w:color="auto" w:sz="12" w:space="0"/>
                  </w:tcBorders>
                  <w:vAlign w:val="center"/>
                </w:tcPr>
                <w:p>
                  <w:pPr>
                    <w:jc w:val="center"/>
                    <w:rPr>
                      <w:color w:val="000000"/>
                      <w:sz w:val="24"/>
                      <w:szCs w:val="24"/>
                    </w:rPr>
                  </w:pPr>
                  <w:r>
                    <w:rPr>
                      <w:rFonts w:hint="eastAsia"/>
                      <w:color w:val="000000"/>
                      <w:sz w:val="24"/>
                      <w:szCs w:val="24"/>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tcBorders>
                    <w:top w:val="single" w:color="auto" w:sz="12" w:space="0"/>
                  </w:tcBorders>
                  <w:vAlign w:val="center"/>
                </w:tcPr>
                <w:p>
                  <w:pPr>
                    <w:jc w:val="center"/>
                    <w:rPr>
                      <w:color w:val="000000"/>
                      <w:sz w:val="24"/>
                      <w:szCs w:val="24"/>
                    </w:rPr>
                  </w:pPr>
                  <w:r>
                    <w:rPr>
                      <w:rFonts w:hint="eastAsia"/>
                      <w:color w:val="000000"/>
                      <w:sz w:val="24"/>
                      <w:szCs w:val="24"/>
                    </w:rPr>
                    <w:t>区域布局管控要求</w:t>
                  </w:r>
                </w:p>
              </w:tc>
              <w:tc>
                <w:tcPr>
                  <w:tcW w:w="3304" w:type="pct"/>
                  <w:tcBorders>
                    <w:top w:val="single" w:color="auto" w:sz="12" w:space="0"/>
                  </w:tcBorders>
                  <w:vAlign w:val="center"/>
                </w:tcPr>
                <w:p>
                  <w:pPr>
                    <w:jc w:val="left"/>
                    <w:rPr>
                      <w:color w:val="000000"/>
                      <w:sz w:val="24"/>
                      <w:szCs w:val="24"/>
                    </w:rPr>
                  </w:pPr>
                  <w:r>
                    <w:rPr>
                      <w:rFonts w:hint="eastAsia"/>
                      <w:color w:val="000000"/>
                      <w:sz w:val="24"/>
                      <w:szCs w:val="24"/>
                    </w:rPr>
                    <w:t>大力强化生态保护和建设，严格控制开发强度。重点加强南岭山地保护，推进广东南岭国家公园建设，保护生态系统完整性与生物多样性，构建和巩固北部生态屏障。引导工业项目科学布局，新建项目原则上入园管理，推动现有工业项目集中进园。推动绿色钢铁、有色金属、建筑材料等先进材料产业集群向规模化、绿色化、高端化转型发展，打造特色优势产业集群，积极推动中高时延大数据中心项目布局落地。科学布局现代农业产业平台，打造现代农业与食品产业集群。严格控制涉重金属及有毒有害污染物排放的项目建设</w:t>
                  </w:r>
                  <w:r>
                    <w:rPr>
                      <w:color w:val="000000"/>
                      <w:sz w:val="24"/>
                      <w:szCs w:val="24"/>
                    </w:rPr>
                    <w:t>,</w:t>
                  </w:r>
                  <w:r>
                    <w:rPr>
                      <w:rFonts w:hint="eastAsia"/>
                      <w:color w:val="000000"/>
                      <w:sz w:val="24"/>
                      <w:szCs w:val="24"/>
                    </w:rPr>
                    <w:t>新建、改建、扩建涉重金属重点行业的项目应明确重金属污染物总量来源。逐步扩大高污染燃料禁燃区范围。</w:t>
                  </w:r>
                </w:p>
              </w:tc>
              <w:tc>
                <w:tcPr>
                  <w:tcW w:w="1408" w:type="pct"/>
                  <w:tcBorders>
                    <w:top w:val="single" w:color="auto" w:sz="12" w:space="0"/>
                  </w:tcBorders>
                  <w:vAlign w:val="center"/>
                </w:tcPr>
                <w:p>
                  <w:pPr>
                    <w:jc w:val="left"/>
                    <w:rPr>
                      <w:color w:val="000000"/>
                      <w:sz w:val="24"/>
                      <w:szCs w:val="24"/>
                    </w:rPr>
                  </w:pPr>
                  <w:r>
                    <w:rPr>
                      <w:rFonts w:hint="eastAsia"/>
                      <w:color w:val="000000"/>
                      <w:sz w:val="24"/>
                      <w:szCs w:val="24"/>
                    </w:rPr>
                    <w:t>扩建项目</w:t>
                  </w:r>
                  <w:r>
                    <w:rPr>
                      <w:rFonts w:hint="eastAsia"/>
                      <w:color w:val="000000"/>
                      <w:sz w:val="24"/>
                      <w:szCs w:val="24"/>
                    </w:rPr>
                    <w:t>不涉及砷、汞、铬、镉、铅重金属污染源，产生的废水经污水处理站达到</w:t>
                  </w:r>
                  <w:r>
                    <w:rPr>
                      <w:rFonts w:hint="eastAsia"/>
                      <w:sz w:val="24"/>
                      <w:szCs w:val="24"/>
                    </w:rPr>
                    <w:t>《医疗机构水污染物排放标准》</w:t>
                  </w:r>
                  <w:r>
                    <w:rPr>
                      <w:rFonts w:eastAsia="Times New Roman"/>
                      <w:sz w:val="24"/>
                      <w:szCs w:val="24"/>
                    </w:rPr>
                    <w:t>(GB18466-2005)</w:t>
                  </w:r>
                  <w:r>
                    <w:rPr>
                      <w:rFonts w:hint="eastAsia"/>
                      <w:sz w:val="24"/>
                      <w:szCs w:val="24"/>
                      <w:lang w:val="en-US" w:eastAsia="zh-CN"/>
                    </w:rPr>
                    <w:t>表1</w:t>
                  </w:r>
                  <w:r>
                    <w:rPr>
                      <w:rFonts w:hint="eastAsia"/>
                      <w:sz w:val="24"/>
                      <w:szCs w:val="24"/>
                    </w:rPr>
                    <w:t>排放标准后，</w:t>
                  </w:r>
                  <w:r>
                    <w:rPr>
                      <w:rFonts w:hint="eastAsia" w:ascii="宋体" w:hAnsi="宋体" w:cs="宋体"/>
                      <w:spacing w:val="-7"/>
                      <w:sz w:val="24"/>
                      <w:szCs w:val="24"/>
                    </w:rPr>
                    <w:t>通过市政管道排入连州市污水处理厂处理</w:t>
                  </w:r>
                  <w:r>
                    <w:rPr>
                      <w:rFonts w:hint="eastAsia"/>
                      <w:color w:val="000000"/>
                      <w:sz w:val="24"/>
                      <w:szCs w:val="24"/>
                    </w:rPr>
                    <w:t>，</w:t>
                  </w:r>
                  <w:r>
                    <w:rPr>
                      <w:rFonts w:hint="eastAsia" w:ascii="宋体" w:hAnsi="宋体"/>
                      <w:sz w:val="24"/>
                      <w:szCs w:val="24"/>
                    </w:rPr>
                    <w:t>生活垃圾交环卫部门处理；医疗废物和污水处理站污泥交由有资质的单位处理，符合处置</w:t>
                  </w:r>
                  <w:r>
                    <w:rPr>
                      <w:rFonts w:hint="eastAsia"/>
                      <w:color w:val="000000"/>
                      <w:sz w:val="24"/>
                      <w:szCs w:val="24"/>
                    </w:rPr>
                    <w:t>区域布局管控要求。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jc w:val="center"/>
                    <w:rPr>
                      <w:color w:val="000000"/>
                      <w:sz w:val="24"/>
                      <w:szCs w:val="24"/>
                    </w:rPr>
                  </w:pPr>
                  <w:r>
                    <w:rPr>
                      <w:rFonts w:hint="eastAsia"/>
                      <w:color w:val="000000"/>
                      <w:sz w:val="24"/>
                      <w:szCs w:val="24"/>
                    </w:rPr>
                    <w:t>能源资源利用要求</w:t>
                  </w:r>
                </w:p>
              </w:tc>
              <w:tc>
                <w:tcPr>
                  <w:tcW w:w="3304" w:type="pct"/>
                  <w:vAlign w:val="center"/>
                </w:tcPr>
                <w:p>
                  <w:pPr>
                    <w:jc w:val="left"/>
                    <w:rPr>
                      <w:color w:val="000000"/>
                      <w:sz w:val="24"/>
                      <w:szCs w:val="24"/>
                    </w:rPr>
                  </w:pPr>
                  <w:r>
                    <w:rPr>
                      <w:rFonts w:hint="eastAsia"/>
                      <w:color w:val="000000"/>
                      <w:sz w:val="24"/>
                      <w:szCs w:val="24"/>
                    </w:rPr>
                    <w:t>进一步优化调整能源结构，鼓励使用天然气及可再生能源。县级及以上城市建成区，禁止新建每小时</w:t>
                  </w:r>
                  <w:r>
                    <w:rPr>
                      <w:color w:val="000000"/>
                      <w:sz w:val="24"/>
                      <w:szCs w:val="24"/>
                    </w:rPr>
                    <w:t>35</w:t>
                  </w:r>
                  <w:r>
                    <w:rPr>
                      <w:rFonts w:hint="eastAsia"/>
                      <w:color w:val="000000"/>
                      <w:sz w:val="24"/>
                      <w:szCs w:val="24"/>
                    </w:rPr>
                    <w:t>蒸吨以下燃煤锅炉。原则上不再新建小水电以及除国家和省规划外的风电项目，对不符合生态环境要求的小水电进行清理整改。严格落实东江、北江、韩江流域等重要控制断面生态流量保障目标。推动矿产资源开发合理布局和节约集约利用，提高矿产资源开发项目准入槛，严格执行开采总量指标管控，加快淘汰落后采选工艺，提高资源产出率。</w:t>
                  </w:r>
                </w:p>
              </w:tc>
              <w:tc>
                <w:tcPr>
                  <w:tcW w:w="1408" w:type="pct"/>
                  <w:vAlign w:val="center"/>
                </w:tcPr>
                <w:p>
                  <w:pPr>
                    <w:jc w:val="left"/>
                    <w:rPr>
                      <w:color w:val="000000"/>
                      <w:sz w:val="24"/>
                      <w:szCs w:val="24"/>
                    </w:rPr>
                  </w:pPr>
                  <w:r>
                    <w:rPr>
                      <w:rFonts w:hint="eastAsia"/>
                      <w:color w:val="000000"/>
                      <w:sz w:val="24"/>
                      <w:szCs w:val="24"/>
                    </w:rPr>
                    <w:t>扩建项目</w:t>
                  </w:r>
                  <w:r>
                    <w:rPr>
                      <w:rFonts w:hint="eastAsia"/>
                      <w:color w:val="000000"/>
                      <w:sz w:val="24"/>
                      <w:szCs w:val="24"/>
                    </w:rPr>
                    <w:t>不涉及燃煤锅炉，</w:t>
                  </w:r>
                  <w:r>
                    <w:rPr>
                      <w:rFonts w:hint="eastAsia"/>
                      <w:color w:val="000000"/>
                      <w:kern w:val="0"/>
                      <w:sz w:val="24"/>
                      <w:szCs w:val="24"/>
                    </w:rPr>
                    <w:t>用水来源为市政供水，用电来源于市供电局，符合能源资源利用要求。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jc w:val="center"/>
                    <w:rPr>
                      <w:color w:val="000000"/>
                      <w:sz w:val="24"/>
                      <w:szCs w:val="24"/>
                    </w:rPr>
                  </w:pPr>
                  <w:r>
                    <w:rPr>
                      <w:rFonts w:hint="eastAsia"/>
                      <w:color w:val="000000"/>
                      <w:sz w:val="24"/>
                      <w:szCs w:val="24"/>
                    </w:rPr>
                    <w:t>污染物排放管控要求</w:t>
                  </w:r>
                </w:p>
              </w:tc>
              <w:tc>
                <w:tcPr>
                  <w:tcW w:w="3304" w:type="pct"/>
                  <w:vAlign w:val="center"/>
                </w:tcPr>
                <w:p>
                  <w:pPr>
                    <w:jc w:val="left"/>
                    <w:rPr>
                      <w:color w:val="000000"/>
                      <w:sz w:val="24"/>
                      <w:szCs w:val="24"/>
                    </w:rPr>
                  </w:pPr>
                  <w:r>
                    <w:rPr>
                      <w:rFonts w:hint="eastAsia"/>
                      <w:color w:val="000000"/>
                      <w:sz w:val="24"/>
                      <w:szCs w:val="24"/>
                    </w:rPr>
                    <w:t>在可核查、可监管的基础上，新建项目原则上实施氮氧化物和挥发性有机物等量替代。北江流域严格实行重点重金属污染物减量替代。加快镇级生活污水处理设施及配套管网建设，因地制宜建设农村生活污水处理设施。加强养殖污染防治，推动养殖尾水达标排放或资源化利用。加快推进钢铁、陶瓷、水泥等重点行业提标改造</w:t>
                  </w:r>
                  <w:r>
                    <w:rPr>
                      <w:color w:val="000000"/>
                      <w:sz w:val="24"/>
                      <w:szCs w:val="24"/>
                    </w:rPr>
                    <w:t>(</w:t>
                  </w:r>
                  <w:r>
                    <w:rPr>
                      <w:rFonts w:hint="eastAsia"/>
                      <w:color w:val="000000"/>
                      <w:sz w:val="24"/>
                      <w:szCs w:val="24"/>
                    </w:rPr>
                    <w:t>或</w:t>
                  </w:r>
                  <w:r>
                    <w:rPr>
                      <w:color w:val="000000"/>
                      <w:sz w:val="24"/>
                      <w:szCs w:val="24"/>
                    </w:rPr>
                    <w:t>“</w:t>
                  </w:r>
                  <w:r>
                    <w:rPr>
                      <w:rFonts w:hint="eastAsia"/>
                      <w:color w:val="000000"/>
                      <w:sz w:val="24"/>
                      <w:szCs w:val="24"/>
                    </w:rPr>
                    <w:t>煤改气</w:t>
                  </w:r>
                  <w:r>
                    <w:rPr>
                      <w:color w:val="000000"/>
                      <w:sz w:val="24"/>
                      <w:szCs w:val="24"/>
                    </w:rPr>
                    <w:t>”</w:t>
                  </w:r>
                  <w:r>
                    <w:rPr>
                      <w:rFonts w:hint="eastAsia"/>
                      <w:color w:val="000000"/>
                      <w:sz w:val="24"/>
                      <w:szCs w:val="24"/>
                    </w:rPr>
                    <w:t>改造</w:t>
                  </w:r>
                  <w:r>
                    <w:rPr>
                      <w:color w:val="000000"/>
                      <w:sz w:val="24"/>
                      <w:szCs w:val="24"/>
                    </w:rPr>
                    <w:t>)</w:t>
                  </w:r>
                  <w:r>
                    <w:rPr>
                      <w:rFonts w:hint="eastAsia"/>
                      <w:color w:val="000000"/>
                      <w:sz w:val="24"/>
                      <w:szCs w:val="24"/>
                    </w:rPr>
                    <w:t>。加快矿山改造升级，逐步达到绿色矿山建设要求，凡口铅锌矿及其周边、大宝山矿及其周边等区域严格执行部分重金属水污染物特别排放限值的相关规定。</w:t>
                  </w:r>
                </w:p>
              </w:tc>
              <w:tc>
                <w:tcPr>
                  <w:tcW w:w="1408" w:type="pct"/>
                  <w:vAlign w:val="center"/>
                </w:tcPr>
                <w:p>
                  <w:pPr>
                    <w:jc w:val="left"/>
                    <w:rPr>
                      <w:color w:val="000000"/>
                      <w:sz w:val="24"/>
                      <w:szCs w:val="24"/>
                    </w:rPr>
                  </w:pPr>
                  <w:r>
                    <w:rPr>
                      <w:rFonts w:hint="eastAsia"/>
                      <w:color w:val="000000"/>
                      <w:sz w:val="24"/>
                      <w:szCs w:val="24"/>
                    </w:rPr>
                    <w:t>扩建项目</w:t>
                  </w:r>
                  <w:r>
                    <w:rPr>
                      <w:rFonts w:hint="eastAsia"/>
                      <w:color w:val="000000"/>
                      <w:sz w:val="24"/>
                      <w:szCs w:val="24"/>
                    </w:rPr>
                    <w:t>不排放氮氧化物，不涉及砷、汞、铬、镉、铅重金属污染源</w:t>
                  </w:r>
                  <w:r>
                    <w:rPr>
                      <w:rFonts w:hint="eastAsia"/>
                      <w:color w:val="000000"/>
                      <w:kern w:val="0"/>
                      <w:sz w:val="24"/>
                      <w:szCs w:val="24"/>
                    </w:rPr>
                    <w:t>，符合污染物排放管控要求。项目排放的</w:t>
                  </w:r>
                  <w:r>
                    <w:rPr>
                      <w:rFonts w:hint="eastAsia"/>
                      <w:sz w:val="24"/>
                      <w:szCs w:val="24"/>
                    </w:rPr>
                    <w:t>医疗废水和生活废水经自建医疗废水污水处理站处理达到《医疗机构水污染物排放标准》</w:t>
                  </w:r>
                  <w:r>
                    <w:rPr>
                      <w:rFonts w:eastAsia="Times New Roman"/>
                      <w:sz w:val="24"/>
                      <w:szCs w:val="24"/>
                    </w:rPr>
                    <w:t>(GB18466-2005)</w:t>
                  </w:r>
                  <w:r>
                    <w:rPr>
                      <w:rFonts w:hint="eastAsia"/>
                      <w:sz w:val="24"/>
                      <w:szCs w:val="24"/>
                      <w:lang w:val="en-US" w:eastAsia="zh-CN"/>
                    </w:rPr>
                    <w:t>表1</w:t>
                  </w:r>
                  <w:r>
                    <w:rPr>
                      <w:rFonts w:hint="eastAsia"/>
                      <w:sz w:val="24"/>
                      <w:szCs w:val="24"/>
                    </w:rPr>
                    <w:t>排放标准后，</w:t>
                  </w:r>
                  <w:r>
                    <w:rPr>
                      <w:rFonts w:hint="eastAsia" w:ascii="宋体" w:hAnsi="宋体" w:cs="宋体"/>
                      <w:spacing w:val="-7"/>
                      <w:sz w:val="24"/>
                      <w:szCs w:val="24"/>
                    </w:rPr>
                    <w:t>通过市政管道排入连州市污水处理厂处理，</w:t>
                  </w:r>
                  <w:r>
                    <w:rPr>
                      <w:rFonts w:hint="eastAsia" w:ascii="宋体" w:hAnsi="宋体"/>
                      <w:sz w:val="24"/>
                      <w:szCs w:val="24"/>
                    </w:rPr>
                    <w:t>扩建项目</w:t>
                  </w:r>
                  <w:r>
                    <w:rPr>
                      <w:rFonts w:hint="eastAsia" w:ascii="宋体" w:hAnsi="宋体"/>
                      <w:sz w:val="24"/>
                      <w:szCs w:val="24"/>
                    </w:rPr>
                    <w:t>水污染物总量控制指标计入连州市污水处理厂的总量控制指标，不再另设总量控制指标。</w:t>
                  </w:r>
                  <w:r>
                    <w:rPr>
                      <w:rFonts w:hint="eastAsia" w:ascii="宋体" w:hAnsi="宋体" w:cs="宋体"/>
                      <w:color w:val="000000"/>
                      <w:kern w:val="0"/>
                      <w:sz w:val="24"/>
                      <w:szCs w:val="24"/>
                    </w:rPr>
                    <w:t>符合</w:t>
                  </w:r>
                  <w:r>
                    <w:rPr>
                      <w:rFonts w:hint="eastAsia"/>
                      <w:color w:val="000000"/>
                      <w:kern w:val="0"/>
                      <w:sz w:val="24"/>
                      <w:szCs w:val="24"/>
                    </w:rPr>
                    <w:t>管部门申请总量控制指标。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jc w:val="center"/>
                    <w:rPr>
                      <w:color w:val="000000"/>
                      <w:sz w:val="24"/>
                      <w:szCs w:val="24"/>
                    </w:rPr>
                  </w:pPr>
                  <w:r>
                    <w:rPr>
                      <w:rFonts w:hint="eastAsia"/>
                      <w:color w:val="000000"/>
                      <w:sz w:val="24"/>
                      <w:szCs w:val="24"/>
                    </w:rPr>
                    <w:t>环境风险防控要求</w:t>
                  </w:r>
                </w:p>
              </w:tc>
              <w:tc>
                <w:tcPr>
                  <w:tcW w:w="3304" w:type="pct"/>
                  <w:vAlign w:val="center"/>
                </w:tcPr>
                <w:p>
                  <w:pPr>
                    <w:jc w:val="left"/>
                    <w:rPr>
                      <w:color w:val="000000"/>
                      <w:sz w:val="24"/>
                      <w:szCs w:val="24"/>
                    </w:rPr>
                  </w:pPr>
                  <w:r>
                    <w:rPr>
                      <w:rFonts w:hint="eastAsia"/>
                      <w:color w:val="000000"/>
                      <w:sz w:val="24"/>
                      <w:szCs w:val="24"/>
                    </w:rPr>
                    <w:t>强化流域上游生态保护与水源涵养功能，建立完善突发环境事件应急管理体系，保障饮用水安全。加快落实受污染农用地的安全利用与严格管控措施，防范农产品重金属含量超标风险。加强尾矿库的环境风险排查与防范。加强金属矿采选、金属冶炼企业的重金属污染风险防控。强化选矿废水治理设施的升级改造</w:t>
                  </w:r>
                  <w:r>
                    <w:rPr>
                      <w:color w:val="000000"/>
                      <w:sz w:val="24"/>
                      <w:szCs w:val="24"/>
                    </w:rPr>
                    <w:t>,</w:t>
                  </w:r>
                  <w:r>
                    <w:rPr>
                      <w:rFonts w:hint="eastAsia"/>
                      <w:color w:val="000000"/>
                      <w:sz w:val="24"/>
                      <w:szCs w:val="24"/>
                    </w:rPr>
                    <w:t>选矿废水原则上回用不外排。</w:t>
                  </w:r>
                </w:p>
              </w:tc>
              <w:tc>
                <w:tcPr>
                  <w:tcW w:w="1408" w:type="pct"/>
                  <w:vAlign w:val="center"/>
                </w:tcPr>
                <w:p>
                  <w:pPr>
                    <w:jc w:val="left"/>
                    <w:rPr>
                      <w:color w:val="000000"/>
                      <w:sz w:val="24"/>
                      <w:szCs w:val="24"/>
                    </w:rPr>
                  </w:pPr>
                  <w:r>
                    <w:rPr>
                      <w:rFonts w:hint="eastAsia"/>
                      <w:color w:val="000000"/>
                      <w:sz w:val="24"/>
                      <w:szCs w:val="24"/>
                    </w:rPr>
                    <w:t>扩建项目</w:t>
                  </w:r>
                  <w:r>
                    <w:rPr>
                      <w:rFonts w:hint="eastAsia"/>
                      <w:color w:val="000000"/>
                      <w:sz w:val="24"/>
                      <w:szCs w:val="24"/>
                    </w:rPr>
                    <w:t>所在地</w:t>
                  </w:r>
                  <w:r>
                    <w:rPr>
                      <w:rFonts w:hint="eastAsia"/>
                      <w:color w:val="000000"/>
                      <w:kern w:val="0"/>
                      <w:sz w:val="24"/>
                      <w:szCs w:val="24"/>
                    </w:rPr>
                    <w:t>不涉及饮用水源保护区，当发生突发环境事故时，不会对饮用水源造成影响。</w:t>
                  </w:r>
                </w:p>
              </w:tc>
            </w:tr>
          </w:tbl>
          <w:p>
            <w:pPr>
              <w:spacing w:line="360" w:lineRule="auto"/>
              <w:ind w:firstLine="482" w:firstLineChars="200"/>
              <w:rPr>
                <w:b/>
                <w:bCs/>
                <w:color w:val="000000"/>
                <w:sz w:val="24"/>
                <w:szCs w:val="24"/>
              </w:rPr>
            </w:pPr>
            <w:r>
              <w:rPr>
                <w:rFonts w:hint="eastAsia"/>
                <w:b/>
                <w:bCs/>
                <w:color w:val="000000"/>
                <w:sz w:val="24"/>
                <w:szCs w:val="24"/>
              </w:rPr>
              <w:t>（2）与环境管控单元要求的符合性分析</w:t>
            </w:r>
          </w:p>
          <w:p>
            <w:pPr>
              <w:spacing w:line="360" w:lineRule="auto"/>
              <w:ind w:firstLine="480" w:firstLineChars="200"/>
              <w:rPr>
                <w:color w:val="000000"/>
                <w:sz w:val="24"/>
                <w:szCs w:val="24"/>
              </w:rPr>
            </w:pPr>
            <w:r>
              <w:rPr>
                <w:rFonts w:hint="eastAsia"/>
                <w:color w:val="000000"/>
                <w:sz w:val="24"/>
                <w:szCs w:val="24"/>
              </w:rPr>
              <w:t>该扩建</w:t>
            </w:r>
            <w:r>
              <w:rPr>
                <w:color w:val="000000"/>
                <w:sz w:val="24"/>
                <w:szCs w:val="24"/>
              </w:rPr>
              <w:t>项目</w:t>
            </w:r>
            <w:r>
              <w:rPr>
                <w:rFonts w:hint="eastAsia"/>
                <w:color w:val="000000"/>
                <w:sz w:val="24"/>
                <w:szCs w:val="24"/>
              </w:rPr>
              <w:t>建设地点为</w:t>
            </w:r>
            <w:r>
              <w:rPr>
                <w:rFonts w:hint="eastAsia" w:ascii="宋体" w:hAnsi="宋体" w:cs="宋体"/>
                <w:color w:val="000000"/>
                <w:sz w:val="24"/>
                <w:szCs w:val="24"/>
              </w:rPr>
              <w:t>连州市</w:t>
            </w:r>
            <w:r>
              <w:rPr>
                <w:rFonts w:hint="eastAsia" w:ascii="宋体" w:hAnsi="宋体"/>
                <w:sz w:val="24"/>
                <w:szCs w:val="24"/>
              </w:rPr>
              <w:t>连州镇三古滩村委会马公岭</w:t>
            </w:r>
            <w:r>
              <w:rPr>
                <w:rFonts w:hint="eastAsia"/>
                <w:color w:val="000000"/>
                <w:sz w:val="24"/>
                <w:szCs w:val="24"/>
              </w:rPr>
              <w:t>，</w:t>
            </w:r>
            <w:r>
              <w:rPr>
                <w:color w:val="000000"/>
                <w:sz w:val="24"/>
                <w:szCs w:val="24"/>
              </w:rPr>
              <w:t>根据《广东省“三线一单”生态环境分区管控方案》</w:t>
            </w:r>
            <w:r>
              <w:rPr>
                <w:rFonts w:hint="eastAsia"/>
                <w:color w:val="000000"/>
                <w:sz w:val="24"/>
                <w:szCs w:val="24"/>
              </w:rPr>
              <w:t>的要求，应以推动产业转型升级、强化污染减排、提升资源利用效率为重点，加快解决资源环境负荷大、局部区域生态环境质量差、生态环境风险高等问题。项目与环境管控单元要求的符合性分析</w:t>
            </w:r>
            <w:r>
              <w:rPr>
                <w:color w:val="000000"/>
                <w:sz w:val="24"/>
                <w:szCs w:val="24"/>
              </w:rPr>
              <w:t>如下表1-</w:t>
            </w:r>
            <w:r>
              <w:rPr>
                <w:rFonts w:hint="eastAsia"/>
                <w:color w:val="000000"/>
                <w:sz w:val="24"/>
                <w:szCs w:val="24"/>
              </w:rPr>
              <w:t>2</w:t>
            </w:r>
            <w:r>
              <w:rPr>
                <w:color w:val="000000"/>
                <w:sz w:val="24"/>
                <w:szCs w:val="24"/>
              </w:rPr>
              <w:t>。</w:t>
            </w:r>
          </w:p>
          <w:p>
            <w:pPr>
              <w:spacing w:line="360" w:lineRule="auto"/>
              <w:jc w:val="center"/>
              <w:rPr>
                <w:color w:val="000000"/>
                <w:sz w:val="24"/>
                <w:szCs w:val="24"/>
              </w:rPr>
            </w:pPr>
            <w:r>
              <w:rPr>
                <w:b/>
                <w:color w:val="000000"/>
                <w:sz w:val="24"/>
                <w:szCs w:val="24"/>
              </w:rPr>
              <w:t>表1-</w:t>
            </w:r>
            <w:r>
              <w:rPr>
                <w:rFonts w:hint="eastAsia"/>
                <w:b/>
                <w:color w:val="000000"/>
                <w:sz w:val="24"/>
                <w:szCs w:val="24"/>
              </w:rPr>
              <w:t>2 与环境管控单元要求的符合性分析</w:t>
            </w:r>
          </w:p>
          <w:tbl>
            <w:tblPr>
              <w:tblStyle w:val="2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0"/>
              <w:gridCol w:w="4256"/>
              <w:gridCol w:w="1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tcBorders>
                    <w:bottom w:val="single" w:color="auto" w:sz="12" w:space="0"/>
                  </w:tcBorders>
                  <w:vAlign w:val="center"/>
                </w:tcPr>
                <w:p>
                  <w:pPr>
                    <w:jc w:val="center"/>
                    <w:rPr>
                      <w:color w:val="000000"/>
                      <w:sz w:val="24"/>
                      <w:szCs w:val="24"/>
                    </w:rPr>
                  </w:pPr>
                  <w:r>
                    <w:rPr>
                      <w:rFonts w:hint="eastAsia"/>
                      <w:color w:val="000000"/>
                      <w:sz w:val="24"/>
                      <w:szCs w:val="24"/>
                    </w:rPr>
                    <w:t>类别</w:t>
                  </w:r>
                </w:p>
              </w:tc>
              <w:tc>
                <w:tcPr>
                  <w:tcW w:w="3229" w:type="pct"/>
                  <w:tcBorders>
                    <w:bottom w:val="single" w:color="auto" w:sz="12" w:space="0"/>
                  </w:tcBorders>
                  <w:vAlign w:val="center"/>
                </w:tcPr>
                <w:p>
                  <w:pPr>
                    <w:jc w:val="center"/>
                    <w:rPr>
                      <w:color w:val="000000"/>
                      <w:sz w:val="24"/>
                      <w:szCs w:val="24"/>
                    </w:rPr>
                  </w:pPr>
                  <w:r>
                    <w:rPr>
                      <w:rFonts w:hint="eastAsia"/>
                      <w:color w:val="000000"/>
                      <w:sz w:val="24"/>
                      <w:szCs w:val="24"/>
                    </w:rPr>
                    <w:t>内容</w:t>
                  </w:r>
                </w:p>
              </w:tc>
              <w:tc>
                <w:tcPr>
                  <w:tcW w:w="1387" w:type="pct"/>
                  <w:tcBorders>
                    <w:bottom w:val="single" w:color="auto" w:sz="12" w:space="0"/>
                  </w:tcBorders>
                  <w:vAlign w:val="center"/>
                </w:tcPr>
                <w:p>
                  <w:pPr>
                    <w:jc w:val="center"/>
                    <w:rPr>
                      <w:color w:val="000000"/>
                      <w:sz w:val="24"/>
                      <w:szCs w:val="24"/>
                    </w:rPr>
                  </w:pPr>
                  <w:r>
                    <w:rPr>
                      <w:rFonts w:hint="eastAsia"/>
                      <w:color w:val="000000"/>
                      <w:sz w:val="24"/>
                      <w:szCs w:val="24"/>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tcBorders>
                    <w:top w:val="single" w:color="auto" w:sz="12" w:space="0"/>
                  </w:tcBorders>
                  <w:vAlign w:val="center"/>
                </w:tcPr>
                <w:p>
                  <w:pPr>
                    <w:jc w:val="center"/>
                    <w:rPr>
                      <w:color w:val="000000"/>
                      <w:sz w:val="24"/>
                      <w:szCs w:val="24"/>
                    </w:rPr>
                  </w:pPr>
                  <w:r>
                    <w:rPr>
                      <w:rFonts w:hint="eastAsia"/>
                      <w:color w:val="000000"/>
                      <w:sz w:val="24"/>
                      <w:szCs w:val="24"/>
                    </w:rPr>
                    <w:t>省级以上工业园区重点管控单元</w:t>
                  </w:r>
                </w:p>
              </w:tc>
              <w:tc>
                <w:tcPr>
                  <w:tcW w:w="3229" w:type="pct"/>
                  <w:tcBorders>
                    <w:top w:val="single" w:color="auto" w:sz="12" w:space="0"/>
                  </w:tcBorders>
                  <w:vAlign w:val="center"/>
                </w:tcPr>
                <w:p>
                  <w:pPr>
                    <w:jc w:val="left"/>
                    <w:rPr>
                      <w:color w:val="000000"/>
                      <w:sz w:val="24"/>
                      <w:szCs w:val="24"/>
                    </w:rPr>
                  </w:pPr>
                  <w:r>
                    <w:rPr>
                      <w:rFonts w:hint="eastAsia"/>
                      <w:color w:val="000000"/>
                      <w:sz w:val="24"/>
                      <w:szCs w:val="24"/>
                    </w:rPr>
                    <w:t>依法开展园区规划环评，严格落实规划环评管理要求，开展环境质量跟踪监测，发布环境管理状况公告，制定并实施园区突发环境事件应急预案，定期开展环境安全隐患排查，提升风险防控及应急处置能力。周边</w:t>
                  </w:r>
                  <w:r>
                    <w:rPr>
                      <w:color w:val="000000"/>
                      <w:sz w:val="24"/>
                      <w:szCs w:val="24"/>
                    </w:rPr>
                    <w:t>1</w:t>
                  </w:r>
                  <w:r>
                    <w:rPr>
                      <w:rFonts w:hint="eastAsia"/>
                      <w:color w:val="000000"/>
                      <w:sz w:val="24"/>
                      <w:szCs w:val="24"/>
                    </w:rPr>
                    <w:t>公里范围内涉及生态保护红线、自然保护地、饮用水水源地等生态环境敏感区域的园区，应优化产业布局，控制开发强度，优先引进无污染或轻污染的产业和项目，防止侵占生态空间。纳污水体水质超标的园区，应实施污水深度处理，新建、改建、扩建项目应实行重点污染物排放等量或减量替代。造纸、电镀、印染、鞣革等专业园区或基地应不断提升工艺水平，提高水回用率，逐步削减污染物排放总量；石化园区加快绿色智能升级改造，强化环保投入和管理，构建高效、清洁、低碳、循环的绿色制造体系。</w:t>
                  </w:r>
                </w:p>
              </w:tc>
              <w:tc>
                <w:tcPr>
                  <w:tcW w:w="1387" w:type="pct"/>
                  <w:tcBorders>
                    <w:top w:val="single" w:color="auto" w:sz="12" w:space="0"/>
                  </w:tcBorders>
                  <w:vAlign w:val="center"/>
                </w:tcPr>
                <w:p>
                  <w:pPr>
                    <w:jc w:val="center"/>
                    <w:rPr>
                      <w:color w:val="000000"/>
                      <w:sz w:val="24"/>
                      <w:szCs w:val="24"/>
                    </w:rPr>
                  </w:pPr>
                </w:p>
                <w:p>
                  <w:pPr>
                    <w:jc w:val="center"/>
                    <w:rPr>
                      <w:color w:val="000000"/>
                      <w:sz w:val="24"/>
                      <w:szCs w:val="24"/>
                    </w:rPr>
                  </w:pPr>
                </w:p>
                <w:p>
                  <w:pPr>
                    <w:jc w:val="center"/>
                    <w:rPr>
                      <w:color w:val="000000"/>
                      <w:sz w:val="24"/>
                      <w:szCs w:val="24"/>
                    </w:rPr>
                  </w:pPr>
                </w:p>
                <w:p>
                  <w:pPr>
                    <w:jc w:val="center"/>
                    <w:rPr>
                      <w:color w:val="000000"/>
                      <w:sz w:val="24"/>
                      <w:szCs w:val="24"/>
                    </w:rPr>
                  </w:pPr>
                </w:p>
                <w:p>
                  <w:pPr>
                    <w:jc w:val="center"/>
                    <w:rPr>
                      <w:color w:val="000000"/>
                      <w:sz w:val="24"/>
                      <w:szCs w:val="24"/>
                    </w:rPr>
                  </w:pPr>
                </w:p>
                <w:p>
                  <w:pPr>
                    <w:jc w:val="center"/>
                    <w:rPr>
                      <w:color w:val="000000"/>
                      <w:sz w:val="24"/>
                      <w:szCs w:val="24"/>
                    </w:rPr>
                  </w:pPr>
                </w:p>
                <w:p>
                  <w:pPr>
                    <w:jc w:val="center"/>
                    <w:rPr>
                      <w:color w:val="000000"/>
                      <w:sz w:val="24"/>
                      <w:szCs w:val="24"/>
                    </w:rPr>
                  </w:pPr>
                  <w:r>
                    <w:rPr>
                      <w:rFonts w:hint="eastAsia"/>
                      <w:color w:val="000000"/>
                      <w:sz w:val="24"/>
                      <w:szCs w:val="24"/>
                    </w:rPr>
                    <w:t>该建设项目所在区域不属于工业园区。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pPr>
                    <w:jc w:val="center"/>
                    <w:rPr>
                      <w:color w:val="000000"/>
                      <w:sz w:val="24"/>
                      <w:szCs w:val="24"/>
                    </w:rPr>
                  </w:pPr>
                  <w:r>
                    <w:rPr>
                      <w:rFonts w:hint="eastAsia"/>
                      <w:color w:val="000000"/>
                      <w:sz w:val="24"/>
                      <w:szCs w:val="24"/>
                    </w:rPr>
                    <w:t>水环境质量超标类重点管控单元</w:t>
                  </w:r>
                </w:p>
              </w:tc>
              <w:tc>
                <w:tcPr>
                  <w:tcW w:w="3229" w:type="pct"/>
                  <w:vAlign w:val="center"/>
                </w:tcPr>
                <w:p>
                  <w:pPr>
                    <w:jc w:val="left"/>
                    <w:rPr>
                      <w:color w:val="000000"/>
                      <w:sz w:val="24"/>
                      <w:szCs w:val="24"/>
                    </w:rPr>
                  </w:pPr>
                  <w:r>
                    <w:rPr>
                      <w:rFonts w:hint="eastAsia"/>
                      <w:color w:val="000000"/>
                      <w:sz w:val="24"/>
                      <w:szCs w:val="24"/>
                    </w:rPr>
                    <w:t>加强山水林田湖草系统治理，开展江河、湖泊、水库、湿地保护与修复，提升流域生态环境承载力。严格控制耗水量大、污染物排放强度高的行业发展，新建、改建、扩建项目实施重点水污染物减量替代。以城镇生活污染为主的单元，加快推进城镇生活污水有效收集处理，重点完善污水处理设施配套管网建设，加快实施雨污分流改造，推动提升污水处理设施进水水量和浓度，充分发挥污水处理设施治污效能。以农业污染为主的单元，大力推进畜禽养殖生态化转型及水产养殖业绿色发展，实施种植业</w:t>
                  </w:r>
                  <w:r>
                    <w:rPr>
                      <w:color w:val="000000"/>
                      <w:sz w:val="24"/>
                      <w:szCs w:val="24"/>
                    </w:rPr>
                    <w:t>“</w:t>
                  </w:r>
                  <w:r>
                    <w:rPr>
                      <w:rFonts w:hint="eastAsia"/>
                      <w:color w:val="000000"/>
                      <w:sz w:val="24"/>
                      <w:szCs w:val="24"/>
                    </w:rPr>
                    <w:t>肥药双控</w:t>
                  </w:r>
                  <w:r>
                    <w:rPr>
                      <w:color w:val="000000"/>
                      <w:sz w:val="24"/>
                      <w:szCs w:val="24"/>
                    </w:rPr>
                    <w:t>”</w:t>
                  </w:r>
                  <w:r>
                    <w:rPr>
                      <w:rFonts w:hint="eastAsia"/>
                      <w:color w:val="000000"/>
                      <w:sz w:val="24"/>
                      <w:szCs w:val="24"/>
                    </w:rPr>
                    <w:t>，加强畜禽养殖废弃物资源化利用，加快规模化畜禽养殖场粪便污水贮存、处理与利用配套设施建设，强化水产养殖尾水治理。</w:t>
                  </w:r>
                </w:p>
              </w:tc>
              <w:tc>
                <w:tcPr>
                  <w:tcW w:w="1387" w:type="pct"/>
                  <w:vAlign w:val="center"/>
                </w:tcPr>
                <w:p>
                  <w:pPr>
                    <w:jc w:val="left"/>
                    <w:rPr>
                      <w:color w:val="000000"/>
                      <w:sz w:val="24"/>
                      <w:szCs w:val="24"/>
                    </w:rPr>
                  </w:pPr>
                  <w:r>
                    <w:rPr>
                      <w:rFonts w:hint="eastAsia" w:ascii="宋体" w:hAnsi="宋体" w:cs="宋体"/>
                      <w:color w:val="000000"/>
                      <w:sz w:val="24"/>
                      <w:szCs w:val="24"/>
                    </w:rPr>
                    <w:t>该建设项目产生的废水</w:t>
                  </w:r>
                  <w:r>
                    <w:rPr>
                      <w:rFonts w:hint="eastAsia" w:ascii="宋体" w:hAnsi="宋体" w:cs="宋体"/>
                      <w:spacing w:val="2"/>
                      <w:sz w:val="24"/>
                      <w:szCs w:val="24"/>
                    </w:rPr>
                    <w:t>废水处理站处理，经自建医疗废水处理站处理达到《医疗机构水污染物排放标准》</w:t>
                  </w:r>
                  <w:r>
                    <w:rPr>
                      <w:rFonts w:ascii="宋体" w:hAnsi="宋体" w:cs="宋体"/>
                      <w:sz w:val="24"/>
                      <w:szCs w:val="24"/>
                    </w:rPr>
                    <w:t xml:space="preserve">(GB18466-2005) </w:t>
                  </w:r>
                  <w:r>
                    <w:rPr>
                      <w:rFonts w:hint="eastAsia" w:ascii="宋体" w:hAnsi="宋体" w:cs="宋体"/>
                      <w:sz w:val="24"/>
                      <w:szCs w:val="24"/>
                      <w:lang w:val="en-US" w:eastAsia="zh-CN"/>
                    </w:rPr>
                    <w:t>表1</w:t>
                  </w:r>
                  <w:r>
                    <w:rPr>
                      <w:rFonts w:hint="eastAsia" w:ascii="宋体" w:hAnsi="宋体" w:cs="宋体"/>
                      <w:spacing w:val="-7"/>
                      <w:sz w:val="24"/>
                      <w:szCs w:val="24"/>
                    </w:rPr>
                    <w:t>排放标准后，通过市政管道排入连州市污水处理厂处理，</w:t>
                  </w:r>
                  <w:r>
                    <w:rPr>
                      <w:rFonts w:hint="eastAsia" w:ascii="宋体" w:hAnsi="宋体" w:cs="宋体"/>
                      <w:color w:val="000000"/>
                      <w:kern w:val="0"/>
                      <w:sz w:val="24"/>
                      <w:szCs w:val="24"/>
                    </w:rPr>
                    <w:t>符合</w:t>
                  </w:r>
                  <w:r>
                    <w:rPr>
                      <w:rFonts w:hint="eastAsia" w:ascii="宋体" w:hAnsi="宋体" w:cs="宋体"/>
                      <w:color w:val="000000"/>
                      <w:sz w:val="24"/>
                      <w:szCs w:val="24"/>
                    </w:rPr>
                    <w:t>水环境质量超标类重点管控单元的要求</w:t>
                  </w:r>
                  <w:r>
                    <w:rPr>
                      <w:rFonts w:hint="eastAsia" w:ascii="宋体" w:hAnsi="宋体" w:cs="宋体"/>
                      <w:color w:val="000000"/>
                      <w:kern w:val="0"/>
                      <w:sz w:val="24"/>
                      <w:szCs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5" w:hRule="atLeast"/>
              </w:trPr>
              <w:tc>
                <w:tcPr>
                  <w:tcW w:w="383" w:type="pct"/>
                  <w:vAlign w:val="center"/>
                </w:tcPr>
                <w:p>
                  <w:pPr>
                    <w:jc w:val="center"/>
                    <w:rPr>
                      <w:color w:val="000000"/>
                      <w:sz w:val="24"/>
                      <w:szCs w:val="24"/>
                    </w:rPr>
                  </w:pPr>
                  <w:r>
                    <w:rPr>
                      <w:rFonts w:hint="eastAsia"/>
                      <w:color w:val="000000"/>
                      <w:sz w:val="24"/>
                      <w:szCs w:val="24"/>
                    </w:rPr>
                    <w:t>大气环境受体敏感类重点管控单元</w:t>
                  </w:r>
                </w:p>
              </w:tc>
              <w:tc>
                <w:tcPr>
                  <w:tcW w:w="3229" w:type="pct"/>
                  <w:vAlign w:val="center"/>
                </w:tcPr>
                <w:p>
                  <w:pPr>
                    <w:jc w:val="left"/>
                    <w:rPr>
                      <w:color w:val="000000"/>
                      <w:sz w:val="24"/>
                      <w:szCs w:val="24"/>
                    </w:rPr>
                  </w:pPr>
                  <w:r>
                    <w:rPr>
                      <w:rFonts w:hint="eastAsia"/>
                      <w:color w:val="000000"/>
                      <w:sz w:val="24"/>
                      <w:szCs w:val="24"/>
                    </w:rPr>
                    <w:t>严格限制新建钢铁、燃煤燃油火电、石化、储油库等项目，产生和排放有毒有害大气污染物项目，以及使用溶剂型油墨、涂料、清洗剂、胶黏剂等高挥发性有机物原辅材料的项目；鼓励现有该类项目逐步搬迁退出。</w:t>
                  </w:r>
                </w:p>
              </w:tc>
              <w:tc>
                <w:tcPr>
                  <w:tcW w:w="1387" w:type="pct"/>
                  <w:vAlign w:val="center"/>
                </w:tcPr>
                <w:p>
                  <w:pPr>
                    <w:jc w:val="left"/>
                    <w:rPr>
                      <w:color w:val="000000"/>
                      <w:sz w:val="24"/>
                      <w:szCs w:val="24"/>
                    </w:rPr>
                  </w:pPr>
                  <w:r>
                    <w:rPr>
                      <w:rFonts w:hint="eastAsia"/>
                      <w:color w:val="000000"/>
                      <w:sz w:val="24"/>
                      <w:szCs w:val="24"/>
                    </w:rPr>
                    <w:t>该建设项目不排放有毒有害大气污染物，不使用溶剂型油墨、涂料、清洗剂、胶黏剂等高挥发性有机物原辅材料，符合大气环境受体敏感类重点管控单元的要求</w:t>
                  </w:r>
                  <w:r>
                    <w:rPr>
                      <w:rFonts w:hint="eastAsia"/>
                      <w:color w:val="000000"/>
                      <w:kern w:val="0"/>
                      <w:sz w:val="24"/>
                      <w:szCs w:val="24"/>
                    </w:rPr>
                    <w:t>。</w:t>
                  </w:r>
                </w:p>
              </w:tc>
            </w:tr>
          </w:tbl>
          <w:p>
            <w:pPr>
              <w:pStyle w:val="43"/>
              <w:jc w:val="both"/>
              <w:rPr>
                <w:rFonts w:hAnsi="仿宋_GB2312" w:cs="仿宋_GB2312"/>
                <w:b w:val="0"/>
                <w:sz w:val="24"/>
                <w:szCs w:val="24"/>
              </w:rPr>
            </w:pPr>
          </w:p>
          <w:p>
            <w:pPr>
              <w:widowControl/>
              <w:spacing w:line="360" w:lineRule="auto"/>
              <w:ind w:firstLine="480" w:firstLineChars="200"/>
              <w:jc w:val="left"/>
              <w:rPr>
                <w:color w:val="000000"/>
                <w:sz w:val="24"/>
                <w:szCs w:val="24"/>
              </w:rPr>
            </w:pPr>
          </w:p>
          <w:p>
            <w:pPr>
              <w:widowControl/>
              <w:spacing w:line="360" w:lineRule="auto"/>
              <w:ind w:firstLine="480" w:firstLineChars="200"/>
              <w:jc w:val="left"/>
              <w:rPr>
                <w:color w:val="000000"/>
                <w:kern w:val="0"/>
                <w:sz w:val="24"/>
                <w:szCs w:val="24"/>
              </w:rPr>
            </w:pPr>
          </w:p>
          <w:p>
            <w:pPr>
              <w:pStyle w:val="2"/>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pPr>
          </w:p>
          <w:p>
            <w:pPr>
              <w:pStyle w:val="4"/>
              <w:widowControl/>
              <w:spacing w:line="360" w:lineRule="auto"/>
              <w:ind w:firstLine="480" w:firstLineChars="200"/>
              <w:jc w:val="left"/>
              <w:rPr>
                <w:color w:val="000000"/>
                <w:kern w:val="0"/>
              </w:rPr>
            </w:pPr>
          </w:p>
        </w:tc>
      </w:tr>
    </w:tbl>
    <w:p>
      <w:pPr>
        <w:spacing w:line="360" w:lineRule="auto"/>
        <w:rPr>
          <w:rFonts w:eastAsia="黑体"/>
          <w:color w:val="000000"/>
          <w:sz w:val="30"/>
        </w:rPr>
        <w:sectPr>
          <w:footerReference r:id="rId6" w:type="default"/>
          <w:pgSz w:w="11906" w:h="16838"/>
          <w:pgMar w:top="1701" w:right="1531" w:bottom="1701" w:left="1531" w:header="851" w:footer="1077" w:gutter="0"/>
          <w:pgNumType w:start="1"/>
          <w:cols w:space="720" w:num="1"/>
          <w:docGrid w:linePitch="312" w:charSpace="0"/>
        </w:sectPr>
      </w:pPr>
    </w:p>
    <w:p>
      <w:pPr>
        <w:pStyle w:val="25"/>
        <w:jc w:val="center"/>
        <w:outlineLvl w:val="0"/>
        <w:rPr>
          <w:rFonts w:ascii="黑体" w:hAnsi="黑体" w:eastAsia="黑体"/>
          <w:snapToGrid w:val="0"/>
          <w:color w:val="000000"/>
          <w:sz w:val="30"/>
          <w:szCs w:val="30"/>
        </w:rPr>
      </w:pPr>
      <w:r>
        <w:rPr>
          <w:rFonts w:hint="eastAsia" w:ascii="黑体" w:hAnsi="黑体" w:eastAsia="黑体"/>
          <w:snapToGrid w:val="0"/>
          <w:color w:val="000000"/>
          <w:sz w:val="30"/>
          <w:szCs w:val="30"/>
        </w:rPr>
        <w:t>二、建设项目工程分析</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8"/>
        <w:gridCol w:w="86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220" w:type="pct"/>
            <w:vAlign w:val="center"/>
          </w:tcPr>
          <w:p>
            <w:pPr>
              <w:pStyle w:val="25"/>
              <w:adjustRightInd w:val="0"/>
              <w:snapToGrid w:val="0"/>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建设内容</w:t>
            </w:r>
          </w:p>
        </w:tc>
        <w:tc>
          <w:tcPr>
            <w:tcW w:w="4779" w:type="pct"/>
          </w:tcPr>
          <w:p>
            <w:pPr>
              <w:pStyle w:val="43"/>
              <w:spacing w:line="360" w:lineRule="auto"/>
              <w:jc w:val="both"/>
              <w:rPr>
                <w:b w:val="0"/>
                <w:kern w:val="0"/>
                <w:sz w:val="24"/>
                <w:szCs w:val="24"/>
                <w:lang w:bidi="ar"/>
              </w:rPr>
            </w:pPr>
          </w:p>
          <w:p>
            <w:pPr>
              <w:spacing w:line="360" w:lineRule="auto"/>
              <w:ind w:firstLine="480" w:firstLineChars="200"/>
              <w:rPr>
                <w:sz w:val="24"/>
                <w:szCs w:val="24"/>
              </w:rPr>
            </w:pPr>
            <w:r>
              <w:rPr>
                <w:sz w:val="24"/>
                <w:szCs w:val="24"/>
              </w:rPr>
              <w:t>随着现代社会的飞速发展，生活节奏明显加快，导致精神心理问题日益增多。过去由于经济原因和社会的偏见，到精神病院住院治疗的不足5%。随着国家对精神卫生事业投入与扶持力度的加大，新型农村医疗合作、肇事肇祸精神病人收治管理、家庭困难精神病患者救助等保障和改善民生政策的相继出台，主动到医院住院治疗的精神病患者日益加多。根据《广东省精神卫生工作规划(2016-2020年)》(粤府办[2016]70号)、省卫计、财政等11部委印发《关于加强严重精神障碍患者救治救助工作的实施意见的通知》(粤治办(2016)1号) ，《中共广东省委、广东省人民政府关于建设卫生强省的决定》(粤发( 2015)15号)等文件要求。为完善防治院的医疗功能，</w:t>
            </w:r>
            <w:r>
              <w:rPr>
                <w:rFonts w:hint="eastAsia"/>
                <w:sz w:val="24"/>
                <w:szCs w:val="24"/>
              </w:rPr>
              <w:t>建设单位</w:t>
            </w:r>
            <w:r>
              <w:rPr>
                <w:sz w:val="24"/>
                <w:szCs w:val="24"/>
              </w:rPr>
              <w:t>拟投资5000万建设连州市慢性病防治院精神康复综合楼建设项目。</w:t>
            </w:r>
          </w:p>
          <w:p>
            <w:pPr>
              <w:spacing w:line="360" w:lineRule="auto"/>
              <w:ind w:firstLine="480" w:firstLineChars="200"/>
              <w:jc w:val="left"/>
              <w:rPr>
                <w:sz w:val="24"/>
                <w:szCs w:val="24"/>
              </w:rPr>
            </w:pPr>
            <w:r>
              <w:rPr>
                <w:sz w:val="24"/>
                <w:szCs w:val="24"/>
              </w:rPr>
              <w:t>2016 年4 月建设单位</w:t>
            </w:r>
            <w:r>
              <w:rPr>
                <w:rFonts w:hint="eastAsia"/>
                <w:sz w:val="24"/>
                <w:szCs w:val="24"/>
              </w:rPr>
              <w:t>已</w:t>
            </w:r>
            <w:r>
              <w:rPr>
                <w:sz w:val="24"/>
                <w:szCs w:val="24"/>
              </w:rPr>
              <w:t>委托广州环发环保工程有限公司完成编制《连州市慢性病防治院外迁扩建项目环境影响报告书》，并于2016 年12 月1 日取得了连州市环境保护局批复（连环[2016]123 号）</w:t>
            </w:r>
            <w:r>
              <w:rPr>
                <w:rFonts w:hint="eastAsia"/>
                <w:sz w:val="24"/>
                <w:szCs w:val="24"/>
              </w:rPr>
              <w:t>（见附件3）</w:t>
            </w:r>
            <w:r>
              <w:rPr>
                <w:sz w:val="24"/>
                <w:szCs w:val="24"/>
              </w:rPr>
              <w:t>，该项目总投资 3500 万元，建设地点为连州市连州镇三古滩村委会马公岭，规划用地面积为 8094.75m</w:t>
            </w:r>
            <w:r>
              <w:rPr>
                <w:sz w:val="24"/>
                <w:szCs w:val="24"/>
                <w:vertAlign w:val="superscript"/>
              </w:rPr>
              <w:t>2</w:t>
            </w:r>
            <w:r>
              <w:rPr>
                <w:sz w:val="24"/>
                <w:szCs w:val="24"/>
              </w:rPr>
              <w:t>， 建筑面积 14397.8m</w:t>
            </w:r>
            <w:r>
              <w:rPr>
                <w:sz w:val="24"/>
                <w:szCs w:val="24"/>
                <w:vertAlign w:val="superscript"/>
              </w:rPr>
              <w:t>2</w:t>
            </w:r>
            <w:r>
              <w:rPr>
                <w:sz w:val="24"/>
                <w:szCs w:val="24"/>
              </w:rPr>
              <w:t>。其中地上建筑面积为 12056.4m</w:t>
            </w:r>
            <w:r>
              <w:rPr>
                <w:sz w:val="24"/>
                <w:szCs w:val="24"/>
                <w:vertAlign w:val="superscript"/>
              </w:rPr>
              <w:t>2</w:t>
            </w:r>
            <w:r>
              <w:rPr>
                <w:sz w:val="24"/>
                <w:szCs w:val="24"/>
              </w:rPr>
              <w:t>，地下建筑面积为 2341.4m</w:t>
            </w:r>
            <w:r>
              <w:rPr>
                <w:sz w:val="24"/>
                <w:szCs w:val="24"/>
                <w:vertAlign w:val="superscript"/>
              </w:rPr>
              <w:t>2</w:t>
            </w:r>
            <w:r>
              <w:rPr>
                <w:sz w:val="24"/>
                <w:szCs w:val="24"/>
              </w:rPr>
              <w:t>。建设内容为修建2幢现代化的专业医疗大楼，其中包括一幢慢性病、精神病以及门诊医技综合楼；一幢结核病专科大楼。项目项目配备病床 169 张，其中慢性病 74 张，精神病 45 张，结核病 50 张。目前该项目已于2020年06 月20 号竣工，并于2020 年06 月23 日取得国家排污证，排污证编号为376865441824518251001U</w:t>
            </w:r>
            <w:r>
              <w:rPr>
                <w:rFonts w:hint="eastAsia"/>
                <w:sz w:val="24"/>
                <w:szCs w:val="24"/>
              </w:rPr>
              <w:t>（见附件4）</w:t>
            </w:r>
            <w:r>
              <w:rPr>
                <w:sz w:val="24"/>
                <w:szCs w:val="24"/>
              </w:rPr>
              <w:t>。</w:t>
            </w:r>
            <w:r>
              <w:rPr>
                <w:rFonts w:hint="eastAsia"/>
                <w:sz w:val="24"/>
                <w:szCs w:val="24"/>
              </w:rPr>
              <w:t>建设单位</w:t>
            </w:r>
            <w:r>
              <w:rPr>
                <w:sz w:val="24"/>
                <w:szCs w:val="24"/>
              </w:rPr>
              <w:t>于2020年10月</w:t>
            </w:r>
            <w:r>
              <w:rPr>
                <w:rFonts w:hint="eastAsia"/>
                <w:sz w:val="24"/>
                <w:szCs w:val="24"/>
              </w:rPr>
              <w:t>自主组织环保验收，并</w:t>
            </w:r>
            <w:r>
              <w:rPr>
                <w:sz w:val="24"/>
                <w:szCs w:val="24"/>
              </w:rPr>
              <w:t>完成《连州市慢性病防治院外迁扩建项目竣工环境保护验收监测报告》</w:t>
            </w:r>
            <w:r>
              <w:rPr>
                <w:rFonts w:hint="eastAsia"/>
                <w:sz w:val="24"/>
                <w:szCs w:val="24"/>
              </w:rPr>
              <w:t>及 “</w:t>
            </w:r>
            <w:r>
              <w:rPr>
                <w:sz w:val="24"/>
                <w:szCs w:val="24"/>
              </w:rPr>
              <w:t>连州市慢性病防治院外迁扩建项目</w:t>
            </w:r>
            <w:r>
              <w:rPr>
                <w:rFonts w:hint="eastAsia"/>
                <w:sz w:val="24"/>
                <w:szCs w:val="24"/>
              </w:rPr>
              <w:t>竣工环境保护验收意见”公示（见附件5）。</w:t>
            </w:r>
          </w:p>
          <w:p>
            <w:pPr>
              <w:spacing w:line="360" w:lineRule="auto"/>
              <w:ind w:firstLine="480" w:firstLineChars="200"/>
              <w:rPr>
                <w:color w:val="000000"/>
                <w:kern w:val="0"/>
                <w:sz w:val="24"/>
                <w:szCs w:val="24"/>
              </w:rPr>
            </w:pPr>
            <w:r>
              <w:rPr>
                <w:rFonts w:hint="eastAsia"/>
                <w:sz w:val="24"/>
                <w:szCs w:val="24"/>
              </w:rPr>
              <w:t>本项目属于扩建，</w:t>
            </w:r>
            <w:r>
              <w:rPr>
                <w:sz w:val="24"/>
                <w:szCs w:val="24"/>
              </w:rPr>
              <w:t>新建1栋四层综合大楼</w:t>
            </w:r>
            <w:r>
              <w:rPr>
                <w:rFonts w:hint="eastAsia"/>
                <w:sz w:val="24"/>
                <w:szCs w:val="24"/>
              </w:rPr>
              <w:t>，配套88张床位</w:t>
            </w:r>
            <w:r>
              <w:rPr>
                <w:sz w:val="24"/>
                <w:szCs w:val="24"/>
              </w:rPr>
              <w:t>。根据《中华人民共和</w:t>
            </w:r>
            <w:r>
              <w:rPr>
                <w:rFonts w:hint="eastAsia"/>
                <w:sz w:val="24"/>
                <w:szCs w:val="24"/>
              </w:rPr>
              <w:t>国</w:t>
            </w:r>
            <w:r>
              <w:rPr>
                <w:sz w:val="24"/>
                <w:szCs w:val="24"/>
              </w:rPr>
              <w:t>环境影响评价法》</w:t>
            </w:r>
            <w:r>
              <w:rPr>
                <w:rFonts w:hint="eastAsia"/>
                <w:sz w:val="24"/>
                <w:szCs w:val="24"/>
              </w:rPr>
              <w:t>及</w:t>
            </w:r>
            <w:r>
              <w:rPr>
                <w:sz w:val="24"/>
                <w:szCs w:val="24"/>
              </w:rPr>
              <w:t>《建设项目环境保护管理条例》等法律法规的有关规定，建设项目应执行环境影响评价制度。</w:t>
            </w:r>
            <w:r>
              <w:rPr>
                <w:rFonts w:hint="eastAsia"/>
                <w:sz w:val="24"/>
                <w:szCs w:val="24"/>
              </w:rPr>
              <w:t>按照</w:t>
            </w:r>
            <w:r>
              <w:rPr>
                <w:sz w:val="24"/>
                <w:szCs w:val="24"/>
              </w:rPr>
              <w:t>《建设项目环境影响评价分类管理名录2021版》，</w:t>
            </w:r>
            <w:r>
              <w:rPr>
                <w:color w:val="000000"/>
                <w:kern w:val="0"/>
                <w:sz w:val="24"/>
                <w:szCs w:val="24"/>
              </w:rPr>
              <w:t>扩建项目属于“四十九 卫生”中的“84 医院、专科防治院（所、站）”项目类别，本项目扩建床位数</w:t>
            </w:r>
            <w:r>
              <w:rPr>
                <w:sz w:val="24"/>
                <w:szCs w:val="24"/>
              </w:rPr>
              <w:t>其他（住院床位20张以下的除外，不大于500张）</w:t>
            </w:r>
            <w:r>
              <w:rPr>
                <w:color w:val="000000"/>
                <w:kern w:val="0"/>
                <w:sz w:val="24"/>
                <w:szCs w:val="24"/>
              </w:rPr>
              <w:t>，应编制环境影响报告表。</w:t>
            </w:r>
          </w:p>
          <w:p>
            <w:pPr>
              <w:spacing w:line="360" w:lineRule="auto"/>
              <w:ind w:firstLine="480" w:firstLineChars="200"/>
              <w:jc w:val="left"/>
              <w:rPr>
                <w:b/>
                <w:bCs/>
                <w:color w:val="000000"/>
                <w:sz w:val="24"/>
                <w:szCs w:val="24"/>
              </w:rPr>
            </w:pPr>
            <w:r>
              <w:rPr>
                <w:rFonts w:hint="eastAsia"/>
                <w:bCs/>
                <w:sz w:val="24"/>
                <w:szCs w:val="24"/>
              </w:rPr>
              <w:t>该</w:t>
            </w:r>
            <w:r>
              <w:rPr>
                <w:bCs/>
                <w:sz w:val="24"/>
                <w:szCs w:val="24"/>
              </w:rPr>
              <w:t>项目</w:t>
            </w:r>
            <w:r>
              <w:rPr>
                <w:rFonts w:hint="eastAsia"/>
                <w:bCs/>
                <w:sz w:val="24"/>
                <w:szCs w:val="24"/>
              </w:rPr>
              <w:t>建设地点为</w:t>
            </w:r>
            <w:r>
              <w:rPr>
                <w:rFonts w:hint="eastAsia" w:ascii="宋体" w:hAnsi="宋体" w:cs="宋体"/>
                <w:color w:val="000000"/>
                <w:sz w:val="24"/>
                <w:szCs w:val="24"/>
              </w:rPr>
              <w:t>连州市</w:t>
            </w:r>
            <w:r>
              <w:rPr>
                <w:rFonts w:hint="eastAsia" w:ascii="宋体" w:hAnsi="宋体"/>
                <w:sz w:val="24"/>
                <w:szCs w:val="24"/>
              </w:rPr>
              <w:t>连州镇三古滩村委会马公岭现有院区南侧空地，地理坐标为</w:t>
            </w:r>
            <w:r>
              <w:rPr>
                <w:color w:val="000000"/>
                <w:sz w:val="24"/>
                <w:szCs w:val="24"/>
              </w:rPr>
              <w:t>东经</w:t>
            </w:r>
            <w:r>
              <w:rPr>
                <w:rFonts w:hint="eastAsia"/>
                <w:color w:val="000000"/>
                <w:sz w:val="24"/>
                <w:szCs w:val="24"/>
              </w:rPr>
              <w:t xml:space="preserve">112°22′4.5988″, </w:t>
            </w:r>
            <w:r>
              <w:rPr>
                <w:color w:val="000000"/>
                <w:sz w:val="24"/>
                <w:szCs w:val="24"/>
              </w:rPr>
              <w:t>北纬</w:t>
            </w:r>
            <w:r>
              <w:rPr>
                <w:rFonts w:hint="eastAsia"/>
                <w:color w:val="000000"/>
                <w:sz w:val="24"/>
                <w:szCs w:val="24"/>
              </w:rPr>
              <w:t>24°48′54.965″，</w:t>
            </w:r>
            <w:r>
              <w:rPr>
                <w:bCs/>
                <w:sz w:val="24"/>
                <w:szCs w:val="24"/>
              </w:rPr>
              <w:t>位于连州市北面，冈溪路东面，连州市慢性病防治院南面（场址为政府规划用地</w:t>
            </w:r>
            <w:r>
              <w:rPr>
                <w:rFonts w:hint="eastAsia"/>
                <w:bCs/>
                <w:sz w:val="24"/>
                <w:szCs w:val="24"/>
              </w:rPr>
              <w:t>，</w:t>
            </w:r>
            <w:r>
              <w:rPr>
                <w:rFonts w:hint="eastAsia" w:hAnsi="仿宋_GB2312" w:cs="仿宋_GB2312"/>
                <w:sz w:val="24"/>
                <w:szCs w:val="24"/>
              </w:rPr>
              <w:t>建设用地属于医疗卫生用地</w:t>
            </w:r>
            <w:r>
              <w:rPr>
                <w:bCs/>
                <w:sz w:val="24"/>
                <w:szCs w:val="24"/>
              </w:rPr>
              <w:t>）。场址交通便捷，周围没有工厂污染源和易爆物产生，可为患者提供优美的就医环境。连州市慢性病防治院已建成并投入使用，建设用地为连州市慢性病防治院南面用地。项目给排水、供电等设施均接入到连州市慢性病防治院现有系统，可以满足扩建项目建设配套等要求。</w:t>
            </w:r>
            <w:r>
              <w:rPr>
                <w:rFonts w:hint="eastAsia"/>
                <w:bCs/>
                <w:sz w:val="24"/>
                <w:szCs w:val="24"/>
              </w:rPr>
              <w:t>本扩建</w:t>
            </w:r>
            <w:r>
              <w:rPr>
                <w:bCs/>
                <w:sz w:val="24"/>
                <w:szCs w:val="24"/>
              </w:rPr>
              <w:t>项目选址地理位置见</w:t>
            </w:r>
            <w:r>
              <w:rPr>
                <w:rFonts w:hint="eastAsia"/>
                <w:bCs/>
                <w:sz w:val="24"/>
                <w:szCs w:val="24"/>
              </w:rPr>
              <w:t>附</w:t>
            </w:r>
            <w:r>
              <w:rPr>
                <w:bCs/>
                <w:sz w:val="24"/>
                <w:szCs w:val="24"/>
              </w:rPr>
              <w:t>图</w:t>
            </w:r>
            <w:r>
              <w:rPr>
                <w:rFonts w:hint="eastAsia"/>
                <w:bCs/>
                <w:sz w:val="24"/>
                <w:szCs w:val="24"/>
              </w:rPr>
              <w:t>一</w:t>
            </w:r>
            <w:r>
              <w:rPr>
                <w:bCs/>
                <w:sz w:val="24"/>
                <w:szCs w:val="24"/>
              </w:rPr>
              <w:t>。</w:t>
            </w:r>
          </w:p>
          <w:p>
            <w:pPr>
              <w:spacing w:line="360" w:lineRule="auto"/>
              <w:rPr>
                <w:b/>
                <w:bCs/>
                <w:color w:val="000000"/>
                <w:sz w:val="24"/>
                <w:szCs w:val="24"/>
              </w:rPr>
            </w:pPr>
            <w:r>
              <w:rPr>
                <w:b/>
                <w:bCs/>
                <w:color w:val="000000"/>
                <w:sz w:val="24"/>
                <w:szCs w:val="24"/>
              </w:rPr>
              <w:t>1、建设规模</w:t>
            </w:r>
          </w:p>
          <w:p>
            <w:pPr>
              <w:pStyle w:val="2"/>
              <w:spacing w:line="360" w:lineRule="auto"/>
              <w:ind w:firstLine="480" w:firstLineChars="200"/>
              <w:rPr>
                <w:rFonts w:ascii="Times New Roman" w:cs="Times New Roman"/>
                <w:b/>
                <w:bCs/>
              </w:rPr>
            </w:pPr>
            <w:r>
              <w:rPr>
                <w:rFonts w:hint="eastAsia"/>
              </w:rPr>
              <w:t>本扩建</w:t>
            </w:r>
            <w:r>
              <w:t>项目规划用地15990.67m</w:t>
            </w:r>
            <w:r>
              <w:rPr>
                <w:vertAlign w:val="superscript"/>
              </w:rPr>
              <w:t>2</w:t>
            </w:r>
            <w:r>
              <w:t>，拟新建1栋四层综合大楼，项目占地面积为1365.98m</w:t>
            </w:r>
            <w:r>
              <w:rPr>
                <w:vertAlign w:val="superscript"/>
              </w:rPr>
              <w:t>2</w:t>
            </w:r>
            <w:r>
              <w:t>，总建筑面积8234.14㎡，其中地上建筑面积5205.6m</w:t>
            </w:r>
            <w:r>
              <w:rPr>
                <w:vertAlign w:val="superscript"/>
              </w:rPr>
              <w:t>2</w:t>
            </w:r>
            <w:r>
              <w:t>（其中综合楼5189.6m</w:t>
            </w:r>
            <w:r>
              <w:rPr>
                <w:vertAlign w:val="superscript"/>
              </w:rPr>
              <w:t>2</w:t>
            </w:r>
            <w:r>
              <w:t>，门卫16㎡），地下一层停车场建筑面积3028.54m</w:t>
            </w:r>
            <w:r>
              <w:rPr>
                <w:vertAlign w:val="superscript"/>
              </w:rPr>
              <w:t>2</w:t>
            </w:r>
            <w:r>
              <w:t>，绿化面积为4370.41m</w:t>
            </w:r>
            <w:r>
              <w:rPr>
                <w:vertAlign w:val="superscript"/>
              </w:rPr>
              <w:t>2</w:t>
            </w:r>
            <w:r>
              <w:t>，同时相应完善相关医疗及基础配套设施。扩建工程项目内容表</w:t>
            </w:r>
            <w:r>
              <w:rPr>
                <w:rFonts w:hint="eastAsia"/>
              </w:rPr>
              <w:t>2-</w:t>
            </w:r>
            <w:r>
              <w:t>1，新建综合楼主要经济技术指标表如表</w:t>
            </w:r>
            <w:r>
              <w:rPr>
                <w:rFonts w:hint="eastAsia"/>
              </w:rPr>
              <w:t>2-</w:t>
            </w:r>
            <w:r>
              <w:t>2，项目综合主要经济技术指标表如表</w:t>
            </w:r>
            <w:r>
              <w:rPr>
                <w:rFonts w:hint="eastAsia"/>
              </w:rPr>
              <w:t>2-</w:t>
            </w:r>
            <w:r>
              <w:t>3。</w:t>
            </w:r>
          </w:p>
          <w:p>
            <w:pPr>
              <w:pStyle w:val="6"/>
              <w:tabs>
                <w:tab w:val="left" w:pos="1039"/>
              </w:tabs>
              <w:spacing w:before="160" w:line="360" w:lineRule="auto"/>
              <w:ind w:right="427"/>
              <w:jc w:val="center"/>
              <w:rPr>
                <w:b w:val="0"/>
                <w:sz w:val="12"/>
              </w:rPr>
            </w:pPr>
            <w:r>
              <w:rPr>
                <w:rFonts w:ascii="Times New Roman" w:hAnsi="Times New Roman" w:cs="Times New Roman"/>
              </w:rPr>
              <w:t>表</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本扩建</w:t>
            </w:r>
            <w:r>
              <w:rPr>
                <w:rFonts w:ascii="Times New Roman" w:hAnsi="Times New Roman" w:cs="Times New Roman"/>
              </w:rPr>
              <w:t>项目内容一览表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727"/>
              <w:gridCol w:w="946"/>
              <w:gridCol w:w="4812"/>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3" w:type="pct"/>
                  <w:gridSpan w:val="3"/>
                  <w:tcBorders>
                    <w:tl2br w:val="nil"/>
                    <w:tr2bl w:val="nil"/>
                  </w:tcBorders>
                  <w:vAlign w:val="center"/>
                </w:tcPr>
                <w:p>
                  <w:pPr>
                    <w:pStyle w:val="58"/>
                    <w:rPr>
                      <w:rFonts w:ascii="Times New Roman" w:hAnsi="Times New Roman"/>
                    </w:rPr>
                  </w:pPr>
                  <w:r>
                    <w:rPr>
                      <w:rFonts w:ascii="Times New Roman" w:hAnsi="Times New Roman"/>
                    </w:rPr>
                    <w:t>工程</w:t>
                  </w:r>
                </w:p>
              </w:tc>
              <w:tc>
                <w:tcPr>
                  <w:tcW w:w="2852" w:type="pct"/>
                  <w:tcBorders>
                    <w:tl2br w:val="nil"/>
                    <w:tr2bl w:val="nil"/>
                  </w:tcBorders>
                  <w:vAlign w:val="center"/>
                </w:tcPr>
                <w:p>
                  <w:pPr>
                    <w:pStyle w:val="58"/>
                    <w:rPr>
                      <w:rFonts w:ascii="Times New Roman" w:hAnsi="Times New Roman"/>
                    </w:rPr>
                  </w:pPr>
                  <w:r>
                    <w:rPr>
                      <w:rFonts w:ascii="Times New Roman" w:hAnsi="Times New Roman"/>
                    </w:rPr>
                    <w:t>扩建项目工程</w:t>
                  </w:r>
                </w:p>
              </w:tc>
              <w:tc>
                <w:tcPr>
                  <w:tcW w:w="833" w:type="pct"/>
                  <w:tcBorders>
                    <w:tl2br w:val="nil"/>
                    <w:tr2bl w:val="nil"/>
                  </w:tcBorders>
                  <w:vAlign w:val="center"/>
                </w:tcPr>
                <w:p>
                  <w:pPr>
                    <w:pStyle w:val="58"/>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1" w:type="pct"/>
                  <w:vMerge w:val="restart"/>
                  <w:tcBorders>
                    <w:tl2br w:val="nil"/>
                    <w:tr2bl w:val="nil"/>
                  </w:tcBorders>
                  <w:vAlign w:val="center"/>
                </w:tcPr>
                <w:p>
                  <w:pPr>
                    <w:pStyle w:val="58"/>
                    <w:rPr>
                      <w:rFonts w:ascii="Times New Roman" w:hAnsi="Times New Roman"/>
                    </w:rPr>
                  </w:pPr>
                  <w:r>
                    <w:rPr>
                      <w:rFonts w:ascii="Times New Roman" w:hAnsi="Times New Roman"/>
                    </w:rPr>
                    <w:t>主体工程</w:t>
                  </w:r>
                </w:p>
              </w:tc>
              <w:tc>
                <w:tcPr>
                  <w:tcW w:w="431" w:type="pct"/>
                  <w:vMerge w:val="restart"/>
                  <w:tcBorders>
                    <w:tl2br w:val="nil"/>
                    <w:tr2bl w:val="nil"/>
                  </w:tcBorders>
                  <w:vAlign w:val="center"/>
                </w:tcPr>
                <w:p>
                  <w:pPr>
                    <w:jc w:val="center"/>
                    <w:rPr>
                      <w:color w:val="000000"/>
                    </w:rPr>
                  </w:pPr>
                  <w:r>
                    <w:rPr>
                      <w:color w:val="000000"/>
                    </w:rPr>
                    <w:t>精神康复科综合楼</w:t>
                  </w:r>
                </w:p>
              </w:tc>
              <w:tc>
                <w:tcPr>
                  <w:tcW w:w="560" w:type="pct"/>
                  <w:tcBorders>
                    <w:tl2br w:val="nil"/>
                    <w:tr2bl w:val="nil"/>
                  </w:tcBorders>
                  <w:vAlign w:val="center"/>
                </w:tcPr>
                <w:p>
                  <w:pPr>
                    <w:jc w:val="center"/>
                  </w:pPr>
                  <w:r>
                    <w:t>1F</w:t>
                  </w:r>
                </w:p>
              </w:tc>
              <w:tc>
                <w:tcPr>
                  <w:tcW w:w="2852" w:type="pct"/>
                  <w:tcBorders>
                    <w:tl2br w:val="nil"/>
                    <w:tr2bl w:val="nil"/>
                  </w:tcBorders>
                  <w:vAlign w:val="center"/>
                </w:tcPr>
                <w:p>
                  <w:pPr>
                    <w:jc w:val="center"/>
                  </w:pPr>
                  <w:r>
                    <w:rPr>
                      <w:color w:val="000000"/>
                    </w:rPr>
                    <w:t>大堂、导医台、CT室、DR室、护士站、药房、收费处、门诊部，值班室、治疗室</w:t>
                  </w:r>
                </w:p>
              </w:tc>
              <w:tc>
                <w:tcPr>
                  <w:tcW w:w="833" w:type="pct"/>
                  <w:vMerge w:val="restart"/>
                  <w:tcBorders>
                    <w:tl2br w:val="nil"/>
                    <w:tr2bl w:val="nil"/>
                  </w:tcBorders>
                  <w:vAlign w:val="center"/>
                </w:tcPr>
                <w:p>
                  <w:pPr>
                    <w:jc w:val="center"/>
                    <w:rPr>
                      <w:color w:val="000000"/>
                    </w:rPr>
                  </w:pPr>
                  <w:r>
                    <w:rPr>
                      <w:color w:val="000000"/>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321" w:type="pct"/>
                  <w:vMerge w:val="continue"/>
                  <w:tcBorders>
                    <w:tl2br w:val="nil"/>
                    <w:tr2bl w:val="nil"/>
                  </w:tcBorders>
                  <w:vAlign w:val="center"/>
                </w:tcPr>
                <w:p>
                  <w:pPr>
                    <w:jc w:val="cente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2F</w:t>
                  </w:r>
                </w:p>
              </w:tc>
              <w:tc>
                <w:tcPr>
                  <w:tcW w:w="2852" w:type="pct"/>
                  <w:tcBorders>
                    <w:tl2br w:val="nil"/>
                    <w:tr2bl w:val="nil"/>
                  </w:tcBorders>
                  <w:vAlign w:val="center"/>
                </w:tcPr>
                <w:p>
                  <w:pPr>
                    <w:jc w:val="center"/>
                    <w:rPr>
                      <w:color w:val="000000"/>
                    </w:rPr>
                  </w:pPr>
                  <w:r>
                    <w:rPr>
                      <w:color w:val="000000"/>
                    </w:rPr>
                    <w:t>标准护理单元（44张床位）</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321" w:type="pct"/>
                  <w:vMerge w:val="continue"/>
                  <w:tcBorders>
                    <w:tl2br w:val="nil"/>
                    <w:tr2bl w:val="nil"/>
                  </w:tcBorders>
                  <w:vAlign w:val="center"/>
                </w:tcPr>
                <w:p>
                  <w:pPr>
                    <w:jc w:val="center"/>
                    <w:rPr>
                      <w:color w:val="000000"/>
                    </w:rP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3F</w:t>
                  </w:r>
                </w:p>
              </w:tc>
              <w:tc>
                <w:tcPr>
                  <w:tcW w:w="2852" w:type="pct"/>
                  <w:tcBorders>
                    <w:tl2br w:val="nil"/>
                    <w:tr2bl w:val="nil"/>
                  </w:tcBorders>
                  <w:vAlign w:val="center"/>
                </w:tcPr>
                <w:p>
                  <w:pPr>
                    <w:jc w:val="center"/>
                    <w:rPr>
                      <w:color w:val="000000"/>
                    </w:rPr>
                  </w:pPr>
                  <w:r>
                    <w:rPr>
                      <w:color w:val="000000"/>
                    </w:rPr>
                    <w:t>标准护理单元（44张床位）</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321" w:type="pct"/>
                  <w:vMerge w:val="continue"/>
                  <w:tcBorders>
                    <w:tl2br w:val="nil"/>
                    <w:tr2bl w:val="nil"/>
                  </w:tcBorders>
                  <w:vAlign w:val="center"/>
                </w:tcPr>
                <w:p>
                  <w:pPr>
                    <w:jc w:val="center"/>
                    <w:rPr>
                      <w:color w:val="000000"/>
                    </w:rP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4F</w:t>
                  </w:r>
                </w:p>
              </w:tc>
              <w:tc>
                <w:tcPr>
                  <w:tcW w:w="2852" w:type="pct"/>
                  <w:tcBorders>
                    <w:tl2br w:val="nil"/>
                    <w:tr2bl w:val="nil"/>
                  </w:tcBorders>
                  <w:vAlign w:val="center"/>
                </w:tcPr>
                <w:p>
                  <w:pPr>
                    <w:jc w:val="center"/>
                    <w:rPr>
                      <w:color w:val="000000"/>
                    </w:rPr>
                  </w:pPr>
                  <w:r>
                    <w:rPr>
                      <w:color w:val="000000"/>
                    </w:rPr>
                    <w:t>办公室、会议室</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321" w:type="pct"/>
                  <w:vMerge w:val="continue"/>
                  <w:tcBorders>
                    <w:tl2br w:val="nil"/>
                    <w:tr2bl w:val="nil"/>
                  </w:tcBorders>
                  <w:vAlign w:val="center"/>
                </w:tcPr>
                <w:p>
                  <w:pPr>
                    <w:jc w:val="center"/>
                    <w:rPr>
                      <w:color w:val="000000"/>
                    </w:rP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屋面层</w:t>
                  </w:r>
                </w:p>
              </w:tc>
              <w:tc>
                <w:tcPr>
                  <w:tcW w:w="2852" w:type="pct"/>
                  <w:tcBorders>
                    <w:tl2br w:val="nil"/>
                    <w:tr2bl w:val="nil"/>
                  </w:tcBorders>
                  <w:vAlign w:val="center"/>
                </w:tcPr>
                <w:p>
                  <w:pPr>
                    <w:jc w:val="center"/>
                    <w:rPr>
                      <w:color w:val="000000"/>
                    </w:rPr>
                  </w:pPr>
                  <w:r>
                    <w:rPr>
                      <w:color w:val="000000"/>
                    </w:rPr>
                    <w:t>电梯机房、风机房</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21" w:type="pct"/>
                  <w:vMerge w:val="continue"/>
                  <w:tcBorders>
                    <w:tl2br w:val="nil"/>
                    <w:tr2bl w:val="nil"/>
                  </w:tcBorders>
                  <w:vAlign w:val="center"/>
                </w:tcPr>
                <w:p>
                  <w:pPr>
                    <w:jc w:val="cente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地下室</w:t>
                  </w:r>
                </w:p>
              </w:tc>
              <w:tc>
                <w:tcPr>
                  <w:tcW w:w="2852" w:type="pct"/>
                  <w:tcBorders>
                    <w:tl2br w:val="nil"/>
                    <w:tr2bl w:val="nil"/>
                  </w:tcBorders>
                  <w:vAlign w:val="center"/>
                </w:tcPr>
                <w:p>
                  <w:pPr>
                    <w:jc w:val="center"/>
                    <w:rPr>
                      <w:color w:val="000000"/>
                    </w:rPr>
                  </w:pPr>
                  <w:r>
                    <w:rPr>
                      <w:color w:val="000000"/>
                    </w:rPr>
                    <w:t>停车场消防泵房、生活用水泵房、设备间等</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21" w:type="pct"/>
                  <w:vMerge w:val="continue"/>
                  <w:tcBorders>
                    <w:tl2br w:val="nil"/>
                    <w:tr2bl w:val="nil"/>
                  </w:tcBorders>
                  <w:vAlign w:val="center"/>
                </w:tcPr>
                <w:p>
                  <w:pPr>
                    <w:jc w:val="center"/>
                  </w:pPr>
                </w:p>
              </w:tc>
              <w:tc>
                <w:tcPr>
                  <w:tcW w:w="431" w:type="pct"/>
                  <w:vMerge w:val="continue"/>
                  <w:tcBorders>
                    <w:tl2br w:val="nil"/>
                    <w:tr2bl w:val="nil"/>
                  </w:tcBorders>
                  <w:vAlign w:val="center"/>
                </w:tcPr>
                <w:p>
                  <w:pPr>
                    <w:jc w:val="center"/>
                    <w:rPr>
                      <w:color w:val="000000"/>
                    </w:rPr>
                  </w:pPr>
                </w:p>
              </w:tc>
              <w:tc>
                <w:tcPr>
                  <w:tcW w:w="560" w:type="pct"/>
                  <w:tcBorders>
                    <w:tl2br w:val="nil"/>
                    <w:tr2bl w:val="nil"/>
                  </w:tcBorders>
                  <w:vAlign w:val="center"/>
                </w:tcPr>
                <w:p>
                  <w:pPr>
                    <w:jc w:val="center"/>
                    <w:rPr>
                      <w:color w:val="000000"/>
                    </w:rPr>
                  </w:pPr>
                  <w:r>
                    <w:rPr>
                      <w:color w:val="000000"/>
                    </w:rPr>
                    <w:t>门卫室</w:t>
                  </w:r>
                </w:p>
              </w:tc>
              <w:tc>
                <w:tcPr>
                  <w:tcW w:w="2852" w:type="pct"/>
                  <w:tcBorders>
                    <w:tl2br w:val="nil"/>
                    <w:tr2bl w:val="nil"/>
                  </w:tcBorders>
                  <w:vAlign w:val="center"/>
                </w:tcPr>
                <w:p>
                  <w:pPr>
                    <w:jc w:val="center"/>
                    <w:rPr>
                      <w:color w:val="000000"/>
                    </w:rPr>
                  </w:pPr>
                  <w:r>
                    <w:rPr>
                      <w:color w:val="000000"/>
                    </w:rPr>
                    <w:t>门卫室（</w:t>
                  </w:r>
                  <w:r>
                    <w:t>16m</w:t>
                  </w:r>
                  <w:r>
                    <w:rPr>
                      <w:vertAlign w:val="superscript"/>
                    </w:rPr>
                    <w:t>2</w:t>
                  </w:r>
                  <w:r>
                    <w:t>）</w:t>
                  </w:r>
                </w:p>
              </w:tc>
              <w:tc>
                <w:tcPr>
                  <w:tcW w:w="833" w:type="pct"/>
                  <w:vMerge w:val="continue"/>
                  <w:tcBorders>
                    <w:tl2br w:val="nil"/>
                    <w:tr2bl w:val="nil"/>
                  </w:tcBorders>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1" w:type="pct"/>
                  <w:vMerge w:val="restart"/>
                  <w:tcBorders>
                    <w:tl2br w:val="nil"/>
                    <w:tr2bl w:val="nil"/>
                  </w:tcBorders>
                  <w:vAlign w:val="center"/>
                </w:tcPr>
                <w:p>
                  <w:pPr>
                    <w:pStyle w:val="80"/>
                    <w:rPr>
                      <w:color w:val="000000"/>
                    </w:rPr>
                  </w:pPr>
                  <w:r>
                    <w:rPr>
                      <w:color w:val="000000"/>
                    </w:rPr>
                    <w:t>辅助</w:t>
                  </w:r>
                </w:p>
                <w:p>
                  <w:pPr>
                    <w:pStyle w:val="80"/>
                  </w:pPr>
                  <w:r>
                    <w:rPr>
                      <w:color w:val="000000"/>
                    </w:rPr>
                    <w:t>工程</w:t>
                  </w:r>
                </w:p>
              </w:tc>
              <w:tc>
                <w:tcPr>
                  <w:tcW w:w="992" w:type="pct"/>
                  <w:gridSpan w:val="2"/>
                  <w:tcBorders>
                    <w:tl2br w:val="nil"/>
                    <w:tr2bl w:val="nil"/>
                  </w:tcBorders>
                  <w:vAlign w:val="center"/>
                </w:tcPr>
                <w:p>
                  <w:pPr>
                    <w:pStyle w:val="80"/>
                  </w:pPr>
                  <w:r>
                    <w:rPr>
                      <w:color w:val="000000"/>
                    </w:rPr>
                    <w:t>供冷、供热</w:t>
                  </w:r>
                </w:p>
              </w:tc>
              <w:tc>
                <w:tcPr>
                  <w:tcW w:w="2852" w:type="pct"/>
                  <w:tcBorders>
                    <w:tl2br w:val="nil"/>
                    <w:tr2bl w:val="nil"/>
                  </w:tcBorders>
                  <w:vAlign w:val="center"/>
                </w:tcPr>
                <w:p>
                  <w:pPr>
                    <w:pStyle w:val="80"/>
                    <w:rPr>
                      <w:color w:val="000000"/>
                    </w:rPr>
                  </w:pPr>
                  <w:r>
                    <w:rPr>
                      <w:color w:val="000000"/>
                    </w:rPr>
                    <w:t>医院内部设分体式空调供冷、供热</w:t>
                  </w:r>
                </w:p>
              </w:tc>
              <w:tc>
                <w:tcPr>
                  <w:tcW w:w="833" w:type="pct"/>
                  <w:tcBorders>
                    <w:tl2br w:val="nil"/>
                    <w:tr2bl w:val="nil"/>
                  </w:tcBorders>
                  <w:vAlign w:val="center"/>
                </w:tcPr>
                <w:p>
                  <w:pPr>
                    <w:jc w:val="center"/>
                    <w:rPr>
                      <w:color w:val="000000"/>
                    </w:rPr>
                  </w:pPr>
                  <w:r>
                    <w:rPr>
                      <w:color w:val="000000"/>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trPr>
              <w:tc>
                <w:tcPr>
                  <w:tcW w:w="321" w:type="pct"/>
                  <w:vMerge w:val="continue"/>
                  <w:tcBorders>
                    <w:tl2br w:val="nil"/>
                    <w:tr2bl w:val="nil"/>
                  </w:tcBorders>
                  <w:vAlign w:val="center"/>
                </w:tcPr>
                <w:p>
                  <w:pPr>
                    <w:pStyle w:val="80"/>
                  </w:pPr>
                </w:p>
              </w:tc>
              <w:tc>
                <w:tcPr>
                  <w:tcW w:w="431" w:type="pct"/>
                  <w:vMerge w:val="restart"/>
                  <w:tcBorders>
                    <w:tl2br w:val="nil"/>
                    <w:tr2bl w:val="nil"/>
                  </w:tcBorders>
                  <w:vAlign w:val="center"/>
                </w:tcPr>
                <w:p>
                  <w:pPr>
                    <w:pStyle w:val="80"/>
                  </w:pPr>
                  <w:r>
                    <w:t>供电设施</w:t>
                  </w:r>
                </w:p>
              </w:tc>
              <w:tc>
                <w:tcPr>
                  <w:tcW w:w="560" w:type="pct"/>
                  <w:tcBorders>
                    <w:tl2br w:val="nil"/>
                    <w:tr2bl w:val="nil"/>
                  </w:tcBorders>
                  <w:vAlign w:val="center"/>
                </w:tcPr>
                <w:p>
                  <w:pPr>
                    <w:pStyle w:val="80"/>
                  </w:pPr>
                  <w:r>
                    <w:t>配电室</w:t>
                  </w:r>
                </w:p>
              </w:tc>
              <w:tc>
                <w:tcPr>
                  <w:tcW w:w="2852" w:type="pct"/>
                  <w:tcBorders>
                    <w:tl2br w:val="nil"/>
                    <w:tr2bl w:val="nil"/>
                  </w:tcBorders>
                  <w:vAlign w:val="center"/>
                </w:tcPr>
                <w:p>
                  <w:pPr>
                    <w:pStyle w:val="80"/>
                    <w:rPr>
                      <w:rStyle w:val="29"/>
                      <w:rFonts w:hint="default" w:ascii="Times New Roman" w:hAnsi="Times New Roman" w:eastAsia="宋体" w:cs="Times New Roman"/>
                      <w:spacing w:val="0"/>
                      <w:sz w:val="21"/>
                      <w:szCs w:val="21"/>
                      <w:lang w:val="en-US"/>
                    </w:rPr>
                  </w:pPr>
                  <w:r>
                    <w:rPr>
                      <w:rFonts w:hint="eastAsia" w:ascii="Times New Roman" w:hAnsi="Times New Roman" w:eastAsia="宋体" w:cs="Times New Roman"/>
                      <w:color w:val="000000"/>
                      <w:spacing w:val="0"/>
                      <w:sz w:val="21"/>
                      <w:szCs w:val="21"/>
                      <w:shd w:val="clear" w:color="auto" w:fill="auto"/>
                      <w:lang w:val="en-US"/>
                    </w:rPr>
                    <w:t>在</w:t>
                  </w:r>
                  <w:r>
                    <w:rPr>
                      <w:rFonts w:hint="eastAsia"/>
                      <w:color w:val="000000"/>
                      <w:sz w:val="21"/>
                    </w:rPr>
                    <w:t>现有机房新增一台</w:t>
                  </w:r>
                  <w:r>
                    <w:rPr>
                      <w:color w:val="000000"/>
                      <w:sz w:val="21"/>
                    </w:rPr>
                    <w:t>10kV</w:t>
                  </w:r>
                  <w:r>
                    <w:rPr>
                      <w:rFonts w:hint="eastAsia"/>
                      <w:color w:val="000000"/>
                      <w:sz w:val="21"/>
                    </w:rPr>
                    <w:t>变压器</w:t>
                  </w:r>
                </w:p>
              </w:tc>
              <w:tc>
                <w:tcPr>
                  <w:tcW w:w="833" w:type="pct"/>
                  <w:tcBorders>
                    <w:tl2br w:val="nil"/>
                    <w:tr2bl w:val="nil"/>
                  </w:tcBorders>
                  <w:vAlign w:val="center"/>
                </w:tcPr>
                <w:p>
                  <w:pPr>
                    <w:jc w:val="center"/>
                    <w:rPr>
                      <w:color w:val="000000"/>
                    </w:rPr>
                  </w:pPr>
                  <w:r>
                    <w:rPr>
                      <w:color w:val="000000"/>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21" w:type="pct"/>
                  <w:vMerge w:val="continue"/>
                  <w:tcBorders>
                    <w:tl2br w:val="nil"/>
                    <w:tr2bl w:val="nil"/>
                  </w:tcBorders>
                  <w:vAlign w:val="center"/>
                </w:tcPr>
                <w:p>
                  <w:pPr>
                    <w:pStyle w:val="80"/>
                  </w:pPr>
                </w:p>
              </w:tc>
              <w:tc>
                <w:tcPr>
                  <w:tcW w:w="431" w:type="pct"/>
                  <w:vMerge w:val="continue"/>
                  <w:tcBorders>
                    <w:tl2br w:val="nil"/>
                    <w:tr2bl w:val="nil"/>
                  </w:tcBorders>
                  <w:vAlign w:val="center"/>
                </w:tcPr>
                <w:p>
                  <w:pPr>
                    <w:pStyle w:val="80"/>
                  </w:pPr>
                </w:p>
              </w:tc>
              <w:tc>
                <w:tcPr>
                  <w:tcW w:w="560" w:type="pct"/>
                  <w:tcBorders>
                    <w:tl2br w:val="nil"/>
                    <w:tr2bl w:val="nil"/>
                  </w:tcBorders>
                  <w:vAlign w:val="center"/>
                </w:tcPr>
                <w:p>
                  <w:pPr>
                    <w:pStyle w:val="80"/>
                  </w:pPr>
                  <w:r>
                    <w:t>发电机</w:t>
                  </w:r>
                </w:p>
              </w:tc>
              <w:tc>
                <w:tcPr>
                  <w:tcW w:w="2852" w:type="pct"/>
                  <w:tcBorders>
                    <w:tl2br w:val="nil"/>
                    <w:tr2bl w:val="nil"/>
                  </w:tcBorders>
                  <w:vAlign w:val="center"/>
                </w:tcPr>
                <w:p>
                  <w:pPr>
                    <w:pStyle w:val="80"/>
                    <w:rPr>
                      <w:color w:val="000000"/>
                    </w:rPr>
                  </w:pPr>
                  <w:r>
                    <w:rPr>
                      <w:color w:val="000000"/>
                      <w:spacing w:val="0"/>
                    </w:rPr>
                    <w:t>1</w:t>
                  </w:r>
                  <w:r>
                    <w:rPr>
                      <w:rFonts w:hint="eastAsia"/>
                      <w:color w:val="000000"/>
                      <w:spacing w:val="0"/>
                    </w:rPr>
                    <w:t>台</w:t>
                  </w:r>
                  <w:r>
                    <w:rPr>
                      <w:color w:val="000000"/>
                      <w:spacing w:val="0"/>
                    </w:rPr>
                    <w:t xml:space="preserve"> </w:t>
                  </w:r>
                  <w:r>
                    <w:rPr>
                      <w:color w:val="000000"/>
                    </w:rPr>
                    <w:t xml:space="preserve">120kw </w:t>
                  </w:r>
                  <w:r>
                    <w:rPr>
                      <w:rFonts w:hint="eastAsia"/>
                      <w:color w:val="000000"/>
                      <w:spacing w:val="0"/>
                    </w:rPr>
                    <w:t>的柴油备用发电机</w:t>
                  </w:r>
                </w:p>
              </w:tc>
              <w:tc>
                <w:tcPr>
                  <w:tcW w:w="833" w:type="pct"/>
                  <w:tcBorders>
                    <w:tl2br w:val="nil"/>
                    <w:tr2bl w:val="nil"/>
                  </w:tcBorders>
                  <w:vAlign w:val="center"/>
                </w:tcPr>
                <w:p>
                  <w:pPr>
                    <w:jc w:val="center"/>
                  </w:pPr>
                  <w:r>
                    <w:rPr>
                      <w:color w:val="000000"/>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21" w:type="pct"/>
                  <w:vMerge w:val="restart"/>
                  <w:tcBorders>
                    <w:tl2br w:val="nil"/>
                    <w:tr2bl w:val="nil"/>
                  </w:tcBorders>
                  <w:vAlign w:val="center"/>
                </w:tcPr>
                <w:p>
                  <w:pPr>
                    <w:pStyle w:val="80"/>
                    <w:rPr>
                      <w:color w:val="000000"/>
                    </w:rPr>
                  </w:pPr>
                  <w:r>
                    <w:rPr>
                      <w:color w:val="000000"/>
                    </w:rPr>
                    <w:t>公用</w:t>
                  </w:r>
                </w:p>
                <w:p>
                  <w:pPr>
                    <w:pStyle w:val="80"/>
                  </w:pPr>
                  <w:r>
                    <w:rPr>
                      <w:color w:val="000000"/>
                    </w:rPr>
                    <w:t>工程</w:t>
                  </w:r>
                </w:p>
              </w:tc>
              <w:tc>
                <w:tcPr>
                  <w:tcW w:w="992" w:type="pct"/>
                  <w:gridSpan w:val="2"/>
                  <w:tcBorders>
                    <w:tl2br w:val="nil"/>
                    <w:tr2bl w:val="nil"/>
                  </w:tcBorders>
                  <w:vAlign w:val="center"/>
                </w:tcPr>
                <w:p>
                  <w:pPr>
                    <w:jc w:val="center"/>
                  </w:pPr>
                  <w:r>
                    <w:rPr>
                      <w:color w:val="000000"/>
                    </w:rPr>
                    <w:t>供水设施</w:t>
                  </w:r>
                </w:p>
              </w:tc>
              <w:tc>
                <w:tcPr>
                  <w:tcW w:w="2852" w:type="pct"/>
                  <w:tcBorders>
                    <w:tl2br w:val="nil"/>
                    <w:tr2bl w:val="nil"/>
                  </w:tcBorders>
                  <w:vAlign w:val="center"/>
                </w:tcPr>
                <w:p>
                  <w:pPr>
                    <w:jc w:val="center"/>
                    <w:rPr>
                      <w:color w:val="000000"/>
                    </w:rPr>
                  </w:pPr>
                  <w:r>
                    <w:rPr>
                      <w:color w:val="000000"/>
                    </w:rPr>
                    <w:t>由当地自来水管网提供</w:t>
                  </w:r>
                </w:p>
              </w:tc>
              <w:tc>
                <w:tcPr>
                  <w:tcW w:w="833" w:type="pct"/>
                  <w:tcBorders>
                    <w:tl2br w:val="nil"/>
                    <w:tr2bl w:val="nil"/>
                  </w:tcBorders>
                  <w:vAlign w:val="center"/>
                </w:tcPr>
                <w:p>
                  <w:pPr>
                    <w:jc w:val="center"/>
                    <w:rPr>
                      <w:color w:val="000000"/>
                    </w:rPr>
                  </w:pPr>
                  <w:r>
                    <w:rPr>
                      <w:color w:val="000000"/>
                    </w:rPr>
                    <w:t>依托现有</w:t>
                  </w:r>
                </w:p>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21" w:type="pct"/>
                  <w:vMerge w:val="continue"/>
                  <w:tcBorders>
                    <w:tl2br w:val="nil"/>
                    <w:tr2bl w:val="nil"/>
                  </w:tcBorders>
                  <w:vAlign w:val="center"/>
                </w:tcPr>
                <w:p>
                  <w:pPr>
                    <w:pStyle w:val="80"/>
                  </w:pPr>
                </w:p>
              </w:tc>
              <w:tc>
                <w:tcPr>
                  <w:tcW w:w="992" w:type="pct"/>
                  <w:gridSpan w:val="2"/>
                  <w:tcBorders>
                    <w:tl2br w:val="nil"/>
                    <w:tr2bl w:val="nil"/>
                  </w:tcBorders>
                  <w:vAlign w:val="center"/>
                </w:tcPr>
                <w:p>
                  <w:pPr>
                    <w:jc w:val="center"/>
                  </w:pPr>
                  <w:r>
                    <w:rPr>
                      <w:color w:val="000000"/>
                    </w:rPr>
                    <w:t>排水设施</w:t>
                  </w:r>
                </w:p>
              </w:tc>
              <w:tc>
                <w:tcPr>
                  <w:tcW w:w="2852" w:type="pct"/>
                  <w:tcBorders>
                    <w:tl2br w:val="nil"/>
                    <w:tr2bl w:val="nil"/>
                  </w:tcBorders>
                  <w:vAlign w:val="center"/>
                </w:tcPr>
                <w:p>
                  <w:pPr>
                    <w:jc w:val="center"/>
                    <w:rPr>
                      <w:color w:val="000000"/>
                    </w:rPr>
                  </w:pPr>
                  <w:r>
                    <w:rPr>
                      <w:color w:val="000000"/>
                    </w:rPr>
                    <w:t>市政污水管网</w:t>
                  </w:r>
                </w:p>
              </w:tc>
              <w:tc>
                <w:tcPr>
                  <w:tcW w:w="833" w:type="pct"/>
                  <w:tcBorders>
                    <w:tl2br w:val="nil"/>
                    <w:tr2bl w:val="nil"/>
                  </w:tcBorders>
                  <w:vAlign w:val="center"/>
                </w:tcPr>
                <w:p>
                  <w:pPr>
                    <w:jc w:val="center"/>
                    <w:rPr>
                      <w:color w:val="000000"/>
                    </w:rPr>
                  </w:pPr>
                  <w:r>
                    <w:rPr>
                      <w:color w:val="000000"/>
                    </w:rPr>
                    <w:t>依托现有</w:t>
                  </w:r>
                </w:p>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21" w:type="pct"/>
                  <w:vMerge w:val="continue"/>
                  <w:tcBorders>
                    <w:tl2br w:val="nil"/>
                    <w:tr2bl w:val="nil"/>
                  </w:tcBorders>
                  <w:vAlign w:val="center"/>
                </w:tcPr>
                <w:p>
                  <w:pPr>
                    <w:pStyle w:val="58"/>
                    <w:rPr>
                      <w:rFonts w:ascii="Times New Roman" w:hAnsi="Times New Roman"/>
                    </w:rPr>
                  </w:pPr>
                </w:p>
              </w:tc>
              <w:tc>
                <w:tcPr>
                  <w:tcW w:w="992" w:type="pct"/>
                  <w:gridSpan w:val="2"/>
                  <w:tcBorders>
                    <w:tl2br w:val="nil"/>
                    <w:tr2bl w:val="nil"/>
                  </w:tcBorders>
                  <w:vAlign w:val="center"/>
                </w:tcPr>
                <w:p>
                  <w:pPr>
                    <w:jc w:val="center"/>
                  </w:pPr>
                  <w:r>
                    <w:t>洗衣房</w:t>
                  </w:r>
                </w:p>
              </w:tc>
              <w:tc>
                <w:tcPr>
                  <w:tcW w:w="2852" w:type="pct"/>
                  <w:tcBorders>
                    <w:tl2br w:val="nil"/>
                    <w:tr2bl w:val="nil"/>
                  </w:tcBorders>
                  <w:vAlign w:val="center"/>
                </w:tcPr>
                <w:p>
                  <w:pPr>
                    <w:jc w:val="center"/>
                  </w:pPr>
                  <w:r>
                    <w:rPr>
                      <w:color w:val="000000"/>
                    </w:rPr>
                    <w:t>消毒衣被服</w:t>
                  </w:r>
                </w:p>
              </w:tc>
              <w:tc>
                <w:tcPr>
                  <w:tcW w:w="833" w:type="pct"/>
                  <w:tcBorders>
                    <w:tl2br w:val="nil"/>
                    <w:tr2bl w:val="nil"/>
                  </w:tcBorders>
                  <w:vAlign w:val="center"/>
                </w:tcPr>
                <w:p>
                  <w:pPr>
                    <w:jc w:val="center"/>
                    <w:rPr>
                      <w:color w:val="000000"/>
                    </w:rPr>
                  </w:pPr>
                  <w:r>
                    <w:rPr>
                      <w:color w:val="000000"/>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21" w:type="pct"/>
                  <w:vMerge w:val="continue"/>
                  <w:tcBorders>
                    <w:tl2br w:val="nil"/>
                    <w:tr2bl w:val="nil"/>
                  </w:tcBorders>
                  <w:vAlign w:val="center"/>
                </w:tcPr>
                <w:p>
                  <w:pPr>
                    <w:pStyle w:val="58"/>
                    <w:rPr>
                      <w:rFonts w:ascii="Times New Roman" w:hAnsi="Times New Roman"/>
                    </w:rPr>
                  </w:pPr>
                </w:p>
              </w:tc>
              <w:tc>
                <w:tcPr>
                  <w:tcW w:w="992" w:type="pct"/>
                  <w:gridSpan w:val="2"/>
                  <w:tcBorders>
                    <w:tl2br w:val="nil"/>
                    <w:tr2bl w:val="nil"/>
                  </w:tcBorders>
                  <w:vAlign w:val="center"/>
                </w:tcPr>
                <w:p>
                  <w:pPr>
                    <w:jc w:val="center"/>
                  </w:pPr>
                  <w:r>
                    <w:t>消防设施</w:t>
                  </w:r>
                </w:p>
              </w:tc>
              <w:tc>
                <w:tcPr>
                  <w:tcW w:w="2852" w:type="pct"/>
                  <w:tcBorders>
                    <w:tl2br w:val="nil"/>
                    <w:tr2bl w:val="nil"/>
                  </w:tcBorders>
                  <w:vAlign w:val="center"/>
                </w:tcPr>
                <w:p>
                  <w:pPr>
                    <w:jc w:val="center"/>
                  </w:pPr>
                  <w:r>
                    <w:t>道路边设置消火栓、消防水泵。在每层楼梯门口安放灭火器</w:t>
                  </w:r>
                </w:p>
              </w:tc>
              <w:tc>
                <w:tcPr>
                  <w:tcW w:w="833" w:type="pct"/>
                  <w:tcBorders>
                    <w:tl2br w:val="nil"/>
                    <w:tr2bl w:val="nil"/>
                  </w:tcBorders>
                  <w:vAlign w:val="center"/>
                </w:tcPr>
                <w:p>
                  <w:pPr>
                    <w:jc w:val="center"/>
                    <w:rPr>
                      <w:color w:val="000000"/>
                    </w:rPr>
                  </w:pPr>
                  <w:r>
                    <w:rPr>
                      <w:color w:val="000000"/>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21" w:type="pct"/>
                  <w:vMerge w:val="restart"/>
                  <w:tcBorders>
                    <w:tl2br w:val="nil"/>
                    <w:tr2bl w:val="nil"/>
                  </w:tcBorders>
                  <w:vAlign w:val="center"/>
                </w:tcPr>
                <w:p>
                  <w:pPr>
                    <w:pStyle w:val="80"/>
                    <w:rPr>
                      <w:color w:val="000000"/>
                    </w:rPr>
                  </w:pPr>
                  <w:r>
                    <w:rPr>
                      <w:color w:val="000000"/>
                    </w:rPr>
                    <w:t>环保</w:t>
                  </w:r>
                </w:p>
                <w:p>
                  <w:pPr>
                    <w:pStyle w:val="80"/>
                  </w:pPr>
                  <w:r>
                    <w:rPr>
                      <w:color w:val="000000"/>
                    </w:rPr>
                    <w:t>工程</w:t>
                  </w:r>
                </w:p>
              </w:tc>
              <w:tc>
                <w:tcPr>
                  <w:tcW w:w="992" w:type="pct"/>
                  <w:gridSpan w:val="2"/>
                  <w:vMerge w:val="restart"/>
                  <w:tcBorders>
                    <w:tl2br w:val="nil"/>
                    <w:tr2bl w:val="nil"/>
                  </w:tcBorders>
                  <w:vAlign w:val="center"/>
                </w:tcPr>
                <w:p>
                  <w:pPr>
                    <w:pStyle w:val="80"/>
                  </w:pPr>
                  <w:r>
                    <w:rPr>
                      <w:color w:val="000000"/>
                    </w:rPr>
                    <w:t>废气治理工程</w:t>
                  </w:r>
                </w:p>
              </w:tc>
              <w:tc>
                <w:tcPr>
                  <w:tcW w:w="2852" w:type="pct"/>
                  <w:tcBorders>
                    <w:tl2br w:val="nil"/>
                    <w:tr2bl w:val="nil"/>
                  </w:tcBorders>
                  <w:vAlign w:val="center"/>
                </w:tcPr>
                <w:p>
                  <w:pPr>
                    <w:pStyle w:val="80"/>
                  </w:pPr>
                  <w:r>
                    <w:rPr>
                      <w:color w:val="000000"/>
                    </w:rPr>
                    <w:t>备用发电机配备水喷淋装置，处理后的废气通过通向主楼楼顶的排气筒排放</w:t>
                  </w:r>
                </w:p>
              </w:tc>
              <w:tc>
                <w:tcPr>
                  <w:tcW w:w="833" w:type="pct"/>
                  <w:tcBorders>
                    <w:tl2br w:val="nil"/>
                    <w:tr2bl w:val="nil"/>
                  </w:tcBorders>
                  <w:vAlign w:val="center"/>
                </w:tcPr>
                <w:p>
                  <w:pPr>
                    <w:jc w:val="center"/>
                    <w:rPr>
                      <w:color w:val="000000"/>
                    </w:rPr>
                  </w:pPr>
                  <w:r>
                    <w:rPr>
                      <w:color w:val="000000"/>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21" w:type="pct"/>
                  <w:vMerge w:val="continue"/>
                  <w:tcBorders>
                    <w:tl2br w:val="nil"/>
                    <w:tr2bl w:val="nil"/>
                  </w:tcBorders>
                  <w:vAlign w:val="center"/>
                </w:tcPr>
                <w:p>
                  <w:pPr>
                    <w:pStyle w:val="80"/>
                  </w:pPr>
                </w:p>
              </w:tc>
              <w:tc>
                <w:tcPr>
                  <w:tcW w:w="992" w:type="pct"/>
                  <w:gridSpan w:val="2"/>
                  <w:vMerge w:val="continue"/>
                  <w:tcBorders>
                    <w:tl2br w:val="nil"/>
                    <w:tr2bl w:val="nil"/>
                  </w:tcBorders>
                  <w:vAlign w:val="center"/>
                </w:tcPr>
                <w:p>
                  <w:pPr>
                    <w:pStyle w:val="80"/>
                  </w:pPr>
                </w:p>
              </w:tc>
              <w:tc>
                <w:tcPr>
                  <w:tcW w:w="2852" w:type="pct"/>
                  <w:tcBorders>
                    <w:tl2br w:val="nil"/>
                    <w:tr2bl w:val="nil"/>
                  </w:tcBorders>
                  <w:vAlign w:val="center"/>
                </w:tcPr>
                <w:p>
                  <w:pPr>
                    <w:pStyle w:val="80"/>
                  </w:pPr>
                  <w:r>
                    <w:rPr>
                      <w:color w:val="000000"/>
                    </w:rPr>
                    <w:t>污水处理站格栅井、调节池、生化池、沉淀池、污泥池等构筑物产生的恶臭气体引至位于地下室的臭气净化装置</w:t>
                  </w:r>
                  <w:r>
                    <w:rPr>
                      <w:spacing w:val="-14"/>
                    </w:rPr>
                    <w:t>经光催化氧化工</w:t>
                  </w:r>
                  <w:r>
                    <w:rPr>
                      <w:spacing w:val="-17"/>
                    </w:rPr>
                    <w:t>艺脱臭消毒后通过排气筒4米高排气筒</w:t>
                  </w:r>
                  <w:r>
                    <w:t>排放。</w:t>
                  </w:r>
                </w:p>
              </w:tc>
              <w:tc>
                <w:tcPr>
                  <w:tcW w:w="833" w:type="pct"/>
                  <w:tcBorders>
                    <w:tl2br w:val="nil"/>
                    <w:tr2bl w:val="nil"/>
                  </w:tcBorders>
                  <w:vAlign w:val="center"/>
                </w:tcPr>
                <w:p>
                  <w:pPr>
                    <w:jc w:val="center"/>
                    <w:rPr>
                      <w:color w:val="000000"/>
                    </w:rPr>
                  </w:pPr>
                  <w:r>
                    <w:rPr>
                      <w:color w:val="000000"/>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1" w:type="pct"/>
                  <w:vMerge w:val="continue"/>
                  <w:tcBorders>
                    <w:tl2br w:val="nil"/>
                    <w:tr2bl w:val="nil"/>
                  </w:tcBorders>
                  <w:vAlign w:val="center"/>
                </w:tcPr>
                <w:p>
                  <w:pPr>
                    <w:pStyle w:val="80"/>
                  </w:pPr>
                </w:p>
              </w:tc>
              <w:tc>
                <w:tcPr>
                  <w:tcW w:w="992" w:type="pct"/>
                  <w:gridSpan w:val="2"/>
                  <w:tcBorders>
                    <w:tl2br w:val="nil"/>
                    <w:tr2bl w:val="nil"/>
                  </w:tcBorders>
                  <w:vAlign w:val="center"/>
                </w:tcPr>
                <w:p>
                  <w:pPr>
                    <w:pStyle w:val="80"/>
                  </w:pPr>
                  <w:r>
                    <w:rPr>
                      <w:color w:val="000000"/>
                    </w:rPr>
                    <w:t>废水治理工程</w:t>
                  </w:r>
                </w:p>
              </w:tc>
              <w:tc>
                <w:tcPr>
                  <w:tcW w:w="2852" w:type="pct"/>
                  <w:tcBorders>
                    <w:tl2br w:val="nil"/>
                    <w:tr2bl w:val="nil"/>
                  </w:tcBorders>
                  <w:vAlign w:val="center"/>
                </w:tcPr>
                <w:p>
                  <w:pPr>
                    <w:pStyle w:val="80"/>
                  </w:pPr>
                  <w:r>
                    <w:rPr>
                      <w:rFonts w:hint="eastAsia"/>
                      <w:color w:val="000000"/>
                    </w:rPr>
                    <w:t>已建废水站1座，</w:t>
                  </w:r>
                  <w:r>
                    <w:rPr>
                      <w:color w:val="000000"/>
                    </w:rPr>
                    <w:t>采用地埋式“预处理+A/O 接触氧化生化+过滤+消毒”处理工艺”。医疗废水处理站处理能力约150m</w:t>
                  </w:r>
                  <w:r>
                    <w:rPr>
                      <w:color w:val="000000"/>
                      <w:vertAlign w:val="superscript"/>
                    </w:rPr>
                    <w:t>3</w:t>
                  </w:r>
                  <w:r>
                    <w:rPr>
                      <w:color w:val="000000"/>
                    </w:rPr>
                    <w:t>/d，消毒池容量400m</w:t>
                  </w:r>
                  <w:r>
                    <w:rPr>
                      <w:color w:val="000000"/>
                      <w:vertAlign w:val="superscript"/>
                    </w:rPr>
                    <w:t>3</w:t>
                  </w:r>
                  <w:r>
                    <w:rPr>
                      <w:rFonts w:hint="eastAsia"/>
                      <w:color w:val="000000"/>
                    </w:rPr>
                    <w:t>。</w:t>
                  </w:r>
                </w:p>
              </w:tc>
              <w:tc>
                <w:tcPr>
                  <w:tcW w:w="833" w:type="pct"/>
                  <w:tcBorders>
                    <w:tl2br w:val="nil"/>
                    <w:tr2bl w:val="nil"/>
                  </w:tcBorders>
                  <w:vAlign w:val="center"/>
                </w:tcPr>
                <w:p>
                  <w:pPr>
                    <w:jc w:val="center"/>
                    <w:rPr>
                      <w:color w:val="000000"/>
                    </w:rPr>
                  </w:pPr>
                  <w:r>
                    <w:rPr>
                      <w:color w:val="000000"/>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1" w:type="pct"/>
                  <w:vMerge w:val="continue"/>
                  <w:tcBorders>
                    <w:tl2br w:val="nil"/>
                    <w:tr2bl w:val="nil"/>
                  </w:tcBorders>
                  <w:vAlign w:val="center"/>
                </w:tcPr>
                <w:p>
                  <w:pPr>
                    <w:pStyle w:val="80"/>
                  </w:pPr>
                </w:p>
              </w:tc>
              <w:tc>
                <w:tcPr>
                  <w:tcW w:w="992" w:type="pct"/>
                  <w:gridSpan w:val="2"/>
                  <w:tcBorders>
                    <w:tl2br w:val="nil"/>
                    <w:tr2bl w:val="nil"/>
                  </w:tcBorders>
                  <w:vAlign w:val="center"/>
                </w:tcPr>
                <w:p>
                  <w:pPr>
                    <w:pStyle w:val="80"/>
                  </w:pPr>
                  <w:r>
                    <w:rPr>
                      <w:color w:val="000000"/>
                    </w:rPr>
                    <w:t>噪声治理工程</w:t>
                  </w:r>
                </w:p>
              </w:tc>
              <w:tc>
                <w:tcPr>
                  <w:tcW w:w="2852" w:type="pct"/>
                  <w:tcBorders>
                    <w:tl2br w:val="nil"/>
                    <w:tr2bl w:val="nil"/>
                  </w:tcBorders>
                  <w:vAlign w:val="center"/>
                </w:tcPr>
                <w:p>
                  <w:pPr>
                    <w:pStyle w:val="80"/>
                  </w:pPr>
                  <w:r>
                    <w:rPr>
                      <w:color w:val="000000"/>
                    </w:rPr>
                    <w:t>选用低噪声设备、建筑物隔声、调整平面布置等</w:t>
                  </w:r>
                </w:p>
              </w:tc>
              <w:tc>
                <w:tcPr>
                  <w:tcW w:w="833" w:type="pct"/>
                  <w:tcBorders>
                    <w:tl2br w:val="nil"/>
                    <w:tr2bl w:val="nil"/>
                  </w:tcBorders>
                  <w:vAlign w:val="center"/>
                </w:tcPr>
                <w:p>
                  <w:pPr>
                    <w:jc w:val="center"/>
                    <w:rPr>
                      <w:color w:val="000000"/>
                    </w:rPr>
                  </w:pPr>
                  <w:r>
                    <w:rPr>
                      <w:color w:val="000000"/>
                    </w:rPr>
                    <w:t>新增</w:t>
                  </w:r>
                </w:p>
              </w:tc>
            </w:tr>
          </w:tbl>
          <w:p>
            <w:pPr>
              <w:pStyle w:val="43"/>
            </w:pPr>
          </w:p>
          <w:p>
            <w:pPr>
              <w:spacing w:before="120" w:beforeLines="50" w:after="120" w:afterLines="50"/>
              <w:jc w:val="center"/>
              <w:rPr>
                <w:b/>
                <w:bCs/>
                <w:sz w:val="24"/>
                <w:szCs w:val="24"/>
              </w:rPr>
            </w:pPr>
            <w:r>
              <w:rPr>
                <w:b/>
                <w:bCs/>
                <w:sz w:val="24"/>
                <w:szCs w:val="24"/>
              </w:rPr>
              <w:t>表</w:t>
            </w:r>
            <w:r>
              <w:rPr>
                <w:rFonts w:hint="eastAsia"/>
                <w:b/>
                <w:bCs/>
                <w:sz w:val="24"/>
                <w:szCs w:val="24"/>
              </w:rPr>
              <w:t>2-</w:t>
            </w:r>
            <w:r>
              <w:rPr>
                <w:b/>
                <w:bCs/>
                <w:sz w:val="24"/>
                <w:szCs w:val="24"/>
              </w:rPr>
              <w:t>2  新建综合楼主要经济技术指标表</w:t>
            </w:r>
          </w:p>
          <w:tbl>
            <w:tblPr>
              <w:tblStyle w:val="27"/>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14"/>
              <w:gridCol w:w="1976"/>
              <w:gridCol w:w="1725"/>
              <w:gridCol w:w="1277"/>
              <w:gridCol w:w="27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序号</w:t>
                  </w:r>
                </w:p>
              </w:tc>
              <w:tc>
                <w:tcPr>
                  <w:tcW w:w="1173" w:type="pct"/>
                  <w:tcMar>
                    <w:top w:w="15" w:type="dxa"/>
                    <w:left w:w="15" w:type="dxa"/>
                    <w:right w:w="15" w:type="dxa"/>
                  </w:tcMar>
                  <w:vAlign w:val="center"/>
                </w:tcPr>
                <w:p>
                  <w:pPr>
                    <w:widowControl/>
                    <w:jc w:val="center"/>
                    <w:textAlignment w:val="center"/>
                  </w:pPr>
                  <w:r>
                    <w:rPr>
                      <w:kern w:val="0"/>
                      <w:lang w:bidi="ar"/>
                    </w:rPr>
                    <w:t>名称</w:t>
                  </w:r>
                </w:p>
              </w:tc>
              <w:tc>
                <w:tcPr>
                  <w:tcW w:w="1024" w:type="pct"/>
                  <w:tcMar>
                    <w:top w:w="15" w:type="dxa"/>
                    <w:left w:w="15" w:type="dxa"/>
                    <w:right w:w="15" w:type="dxa"/>
                  </w:tcMar>
                  <w:vAlign w:val="center"/>
                </w:tcPr>
                <w:p>
                  <w:pPr>
                    <w:widowControl/>
                    <w:jc w:val="center"/>
                    <w:textAlignment w:val="center"/>
                  </w:pPr>
                  <w:r>
                    <w:rPr>
                      <w:kern w:val="0"/>
                      <w:lang w:bidi="ar"/>
                    </w:rPr>
                    <w:t>数量</w:t>
                  </w:r>
                </w:p>
              </w:tc>
              <w:tc>
                <w:tcPr>
                  <w:tcW w:w="758" w:type="pct"/>
                  <w:tcMar>
                    <w:top w:w="15" w:type="dxa"/>
                    <w:left w:w="15" w:type="dxa"/>
                    <w:right w:w="15" w:type="dxa"/>
                  </w:tcMar>
                  <w:vAlign w:val="center"/>
                </w:tcPr>
                <w:p>
                  <w:pPr>
                    <w:widowControl/>
                    <w:jc w:val="center"/>
                    <w:textAlignment w:val="center"/>
                  </w:pPr>
                  <w:r>
                    <w:rPr>
                      <w:kern w:val="0"/>
                      <w:lang w:bidi="ar"/>
                    </w:rPr>
                    <w:t>单位</w:t>
                  </w:r>
                </w:p>
              </w:tc>
              <w:tc>
                <w:tcPr>
                  <w:tcW w:w="1622" w:type="pct"/>
                  <w:tcMar>
                    <w:top w:w="15" w:type="dxa"/>
                    <w:left w:w="15" w:type="dxa"/>
                    <w:right w:w="15" w:type="dxa"/>
                  </w:tcMar>
                  <w:vAlign w:val="center"/>
                </w:tcPr>
                <w:p>
                  <w:pPr>
                    <w:widowControl/>
                    <w:jc w:val="center"/>
                    <w:textAlignment w:val="center"/>
                  </w:pPr>
                  <w:r>
                    <w:rPr>
                      <w:kern w:val="0"/>
                      <w:lang w:bidi="ar"/>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1</w:t>
                  </w:r>
                </w:p>
              </w:tc>
              <w:tc>
                <w:tcPr>
                  <w:tcW w:w="1173" w:type="pct"/>
                  <w:tcMar>
                    <w:top w:w="15" w:type="dxa"/>
                    <w:left w:w="15" w:type="dxa"/>
                    <w:right w:w="15" w:type="dxa"/>
                  </w:tcMar>
                  <w:vAlign w:val="center"/>
                </w:tcPr>
                <w:p>
                  <w:pPr>
                    <w:widowControl/>
                    <w:jc w:val="center"/>
                    <w:textAlignment w:val="center"/>
                  </w:pPr>
                  <w:r>
                    <w:rPr>
                      <w:kern w:val="0"/>
                      <w:lang w:bidi="ar"/>
                    </w:rPr>
                    <w:t>规划用地面积</w:t>
                  </w:r>
                </w:p>
              </w:tc>
              <w:tc>
                <w:tcPr>
                  <w:tcW w:w="1024" w:type="pct"/>
                  <w:tcMar>
                    <w:top w:w="15" w:type="dxa"/>
                    <w:left w:w="15" w:type="dxa"/>
                    <w:right w:w="15" w:type="dxa"/>
                  </w:tcMar>
                  <w:vAlign w:val="center"/>
                </w:tcPr>
                <w:p>
                  <w:pPr>
                    <w:widowControl/>
                    <w:jc w:val="center"/>
                    <w:textAlignment w:val="center"/>
                  </w:pPr>
                  <w:r>
                    <w:rPr>
                      <w:kern w:val="0"/>
                      <w:lang w:bidi="ar"/>
                    </w:rPr>
                    <w:t>15990.67</w:t>
                  </w:r>
                </w:p>
              </w:tc>
              <w:tc>
                <w:tcPr>
                  <w:tcW w:w="758" w:type="pct"/>
                  <w:tcMar>
                    <w:top w:w="15" w:type="dxa"/>
                    <w:left w:w="15" w:type="dxa"/>
                    <w:right w:w="15" w:type="dxa"/>
                  </w:tcMar>
                  <w:vAlign w:val="center"/>
                </w:tcPr>
                <w:p>
                  <w:pPr>
                    <w:widowControl/>
                    <w:jc w:val="center"/>
                    <w:textAlignment w:val="center"/>
                  </w:pPr>
                  <w:r>
                    <w:t>m</w:t>
                  </w:r>
                  <w:r>
                    <w:rPr>
                      <w:vertAlign w:val="superscript"/>
                    </w:rPr>
                    <w:t>2</w:t>
                  </w:r>
                </w:p>
              </w:tc>
              <w:tc>
                <w:tcPr>
                  <w:tcW w:w="1622" w:type="pct"/>
                  <w:tcMar>
                    <w:top w:w="15" w:type="dxa"/>
                    <w:left w:w="15" w:type="dxa"/>
                    <w:right w:w="15" w:type="dxa"/>
                  </w:tcMar>
                  <w:vAlign w:val="center"/>
                </w:tcPr>
                <w:p>
                  <w:pPr>
                    <w:jc w:val="center"/>
                  </w:pP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rPr>
                      <w:kern w:val="0"/>
                      <w:lang w:bidi="ar"/>
                    </w:rPr>
                  </w:pPr>
                  <w:r>
                    <w:rPr>
                      <w:kern w:val="0"/>
                      <w:lang w:bidi="ar"/>
                    </w:rPr>
                    <w:t>2</w:t>
                  </w:r>
                </w:p>
              </w:tc>
              <w:tc>
                <w:tcPr>
                  <w:tcW w:w="1173" w:type="pct"/>
                  <w:tcMar>
                    <w:top w:w="15" w:type="dxa"/>
                    <w:left w:w="15" w:type="dxa"/>
                    <w:right w:w="15" w:type="dxa"/>
                  </w:tcMar>
                  <w:vAlign w:val="center"/>
                </w:tcPr>
                <w:p>
                  <w:pPr>
                    <w:widowControl/>
                    <w:jc w:val="center"/>
                    <w:textAlignment w:val="center"/>
                    <w:rPr>
                      <w:kern w:val="0"/>
                      <w:lang w:bidi="ar"/>
                    </w:rPr>
                  </w:pPr>
                  <w:r>
                    <w:rPr>
                      <w:kern w:val="0"/>
                      <w:lang w:bidi="ar"/>
                    </w:rPr>
                    <w:t>建筑占地面积</w:t>
                  </w:r>
                </w:p>
              </w:tc>
              <w:tc>
                <w:tcPr>
                  <w:tcW w:w="1024" w:type="pct"/>
                  <w:tcMar>
                    <w:top w:w="15" w:type="dxa"/>
                    <w:left w:w="15" w:type="dxa"/>
                    <w:right w:w="15" w:type="dxa"/>
                  </w:tcMar>
                  <w:vAlign w:val="center"/>
                </w:tcPr>
                <w:p>
                  <w:pPr>
                    <w:widowControl/>
                    <w:jc w:val="center"/>
                    <w:textAlignment w:val="center"/>
                    <w:rPr>
                      <w:kern w:val="0"/>
                      <w:lang w:bidi="ar"/>
                    </w:rPr>
                  </w:pPr>
                  <w:r>
                    <w:rPr>
                      <w:kern w:val="0"/>
                      <w:lang w:bidi="ar"/>
                    </w:rPr>
                    <w:t>1365.98</w:t>
                  </w:r>
                </w:p>
              </w:tc>
              <w:tc>
                <w:tcPr>
                  <w:tcW w:w="758" w:type="pct"/>
                  <w:tcMar>
                    <w:top w:w="15" w:type="dxa"/>
                    <w:left w:w="15" w:type="dxa"/>
                    <w:right w:w="15" w:type="dxa"/>
                  </w:tcMar>
                  <w:vAlign w:val="center"/>
                </w:tcPr>
                <w:p>
                  <w:pPr>
                    <w:widowControl/>
                    <w:jc w:val="center"/>
                    <w:textAlignment w:val="center"/>
                    <w:rPr>
                      <w:kern w:val="0"/>
                      <w:lang w:bidi="ar"/>
                    </w:rPr>
                  </w:pPr>
                  <w:r>
                    <w:t>m</w:t>
                  </w:r>
                  <w:r>
                    <w:rPr>
                      <w:vertAlign w:val="superscript"/>
                    </w:rPr>
                    <w:t>2</w:t>
                  </w:r>
                </w:p>
              </w:tc>
              <w:tc>
                <w:tcPr>
                  <w:tcW w:w="1622" w:type="pct"/>
                  <w:tcMar>
                    <w:top w:w="15" w:type="dxa"/>
                    <w:left w:w="15" w:type="dxa"/>
                    <w:right w:w="15" w:type="dxa"/>
                  </w:tcMar>
                  <w:vAlign w:val="center"/>
                </w:tcPr>
                <w:p>
                  <w:pPr>
                    <w:jc w:val="center"/>
                  </w:pP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3</w:t>
                  </w:r>
                </w:p>
              </w:tc>
              <w:tc>
                <w:tcPr>
                  <w:tcW w:w="1173" w:type="pct"/>
                  <w:tcMar>
                    <w:top w:w="15" w:type="dxa"/>
                    <w:left w:w="15" w:type="dxa"/>
                    <w:right w:w="15" w:type="dxa"/>
                  </w:tcMar>
                  <w:vAlign w:val="center"/>
                </w:tcPr>
                <w:p>
                  <w:pPr>
                    <w:widowControl/>
                    <w:jc w:val="center"/>
                    <w:textAlignment w:val="center"/>
                  </w:pPr>
                  <w:r>
                    <w:rPr>
                      <w:kern w:val="0"/>
                      <w:lang w:bidi="ar"/>
                    </w:rPr>
                    <w:t>总建筑面积</w:t>
                  </w:r>
                </w:p>
              </w:tc>
              <w:tc>
                <w:tcPr>
                  <w:tcW w:w="1024" w:type="pct"/>
                  <w:tcMar>
                    <w:top w:w="15" w:type="dxa"/>
                    <w:left w:w="15" w:type="dxa"/>
                    <w:right w:w="15" w:type="dxa"/>
                  </w:tcMar>
                  <w:vAlign w:val="center"/>
                </w:tcPr>
                <w:p>
                  <w:pPr>
                    <w:widowControl/>
                    <w:jc w:val="center"/>
                    <w:textAlignment w:val="center"/>
                  </w:pPr>
                  <w:r>
                    <w:rPr>
                      <w:kern w:val="0"/>
                      <w:lang w:bidi="ar"/>
                    </w:rPr>
                    <w:t>8234.14</w:t>
                  </w:r>
                </w:p>
              </w:tc>
              <w:tc>
                <w:tcPr>
                  <w:tcW w:w="758" w:type="pct"/>
                  <w:tcMar>
                    <w:top w:w="15" w:type="dxa"/>
                    <w:left w:w="15" w:type="dxa"/>
                    <w:right w:w="15" w:type="dxa"/>
                  </w:tcMar>
                  <w:vAlign w:val="center"/>
                </w:tcPr>
                <w:p>
                  <w:pPr>
                    <w:widowControl/>
                    <w:jc w:val="center"/>
                    <w:textAlignment w:val="center"/>
                  </w:pPr>
                  <w:r>
                    <w:t>m</w:t>
                  </w:r>
                  <w:r>
                    <w:rPr>
                      <w:vertAlign w:val="superscript"/>
                    </w:rPr>
                    <w:t>2</w:t>
                  </w:r>
                </w:p>
              </w:tc>
              <w:tc>
                <w:tcPr>
                  <w:tcW w:w="1622" w:type="pct"/>
                  <w:tcMar>
                    <w:top w:w="15" w:type="dxa"/>
                    <w:left w:w="15" w:type="dxa"/>
                    <w:right w:w="15" w:type="dxa"/>
                  </w:tcMar>
                  <w:vAlign w:val="center"/>
                </w:tcPr>
                <w:p>
                  <w:pPr>
                    <w:jc w:val="center"/>
                  </w:pP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3.1</w:t>
                  </w:r>
                </w:p>
              </w:tc>
              <w:tc>
                <w:tcPr>
                  <w:tcW w:w="1173" w:type="pct"/>
                  <w:tcMar>
                    <w:top w:w="15" w:type="dxa"/>
                    <w:left w:w="15" w:type="dxa"/>
                    <w:right w:w="15" w:type="dxa"/>
                  </w:tcMar>
                  <w:vAlign w:val="center"/>
                </w:tcPr>
                <w:p>
                  <w:pPr>
                    <w:widowControl/>
                    <w:jc w:val="center"/>
                    <w:textAlignment w:val="center"/>
                  </w:pPr>
                  <w:r>
                    <w:t>地上建筑面积</w:t>
                  </w:r>
                </w:p>
              </w:tc>
              <w:tc>
                <w:tcPr>
                  <w:tcW w:w="1024" w:type="pct"/>
                  <w:tcMar>
                    <w:top w:w="15" w:type="dxa"/>
                    <w:left w:w="15" w:type="dxa"/>
                    <w:right w:w="15" w:type="dxa"/>
                  </w:tcMar>
                  <w:vAlign w:val="center"/>
                </w:tcPr>
                <w:p>
                  <w:pPr>
                    <w:widowControl/>
                    <w:jc w:val="center"/>
                    <w:textAlignment w:val="center"/>
                  </w:pPr>
                  <w:r>
                    <w:rPr>
                      <w:kern w:val="0"/>
                      <w:lang w:bidi="ar"/>
                    </w:rPr>
                    <w:t>5205.6</w:t>
                  </w:r>
                </w:p>
              </w:tc>
              <w:tc>
                <w:tcPr>
                  <w:tcW w:w="758" w:type="pct"/>
                  <w:tcMar>
                    <w:top w:w="15" w:type="dxa"/>
                    <w:left w:w="15" w:type="dxa"/>
                    <w:right w:w="15" w:type="dxa"/>
                  </w:tcMar>
                  <w:vAlign w:val="center"/>
                </w:tcPr>
                <w:p>
                  <w:pPr>
                    <w:widowControl/>
                    <w:jc w:val="center"/>
                    <w:textAlignment w:val="center"/>
                  </w:pPr>
                  <w:r>
                    <w:t>m</w:t>
                  </w:r>
                  <w:r>
                    <w:rPr>
                      <w:vertAlign w:val="superscript"/>
                    </w:rPr>
                    <w:t>2</w:t>
                  </w:r>
                </w:p>
              </w:tc>
              <w:tc>
                <w:tcPr>
                  <w:tcW w:w="1622" w:type="pct"/>
                  <w:tcMar>
                    <w:top w:w="15" w:type="dxa"/>
                    <w:left w:w="15" w:type="dxa"/>
                    <w:right w:w="15" w:type="dxa"/>
                  </w:tcMar>
                  <w:vAlign w:val="center"/>
                </w:tcPr>
                <w:p>
                  <w:pPr>
                    <w:widowControl/>
                    <w:jc w:val="center"/>
                    <w:textAlignment w:val="center"/>
                  </w:pP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rPr>
                      <w:kern w:val="0"/>
                      <w:lang w:bidi="ar"/>
                    </w:rPr>
                  </w:pPr>
                  <w:r>
                    <w:rPr>
                      <w:kern w:val="0"/>
                      <w:lang w:bidi="ar"/>
                    </w:rPr>
                    <w:t>3.1.1</w:t>
                  </w:r>
                </w:p>
              </w:tc>
              <w:tc>
                <w:tcPr>
                  <w:tcW w:w="1173" w:type="pct"/>
                  <w:tcMar>
                    <w:top w:w="15" w:type="dxa"/>
                    <w:left w:w="15" w:type="dxa"/>
                    <w:right w:w="15" w:type="dxa"/>
                  </w:tcMar>
                  <w:vAlign w:val="center"/>
                </w:tcPr>
                <w:p>
                  <w:pPr>
                    <w:widowControl/>
                    <w:jc w:val="center"/>
                    <w:textAlignment w:val="center"/>
                    <w:rPr>
                      <w:kern w:val="0"/>
                      <w:lang w:bidi="ar"/>
                    </w:rPr>
                  </w:pPr>
                  <w:r>
                    <w:rPr>
                      <w:kern w:val="0"/>
                      <w:lang w:bidi="ar"/>
                    </w:rPr>
                    <w:t>综合楼</w:t>
                  </w:r>
                </w:p>
              </w:tc>
              <w:tc>
                <w:tcPr>
                  <w:tcW w:w="1024" w:type="pct"/>
                  <w:tcMar>
                    <w:top w:w="15" w:type="dxa"/>
                    <w:left w:w="15" w:type="dxa"/>
                    <w:right w:w="15" w:type="dxa"/>
                  </w:tcMar>
                  <w:vAlign w:val="center"/>
                </w:tcPr>
                <w:p>
                  <w:pPr>
                    <w:widowControl/>
                    <w:jc w:val="center"/>
                    <w:textAlignment w:val="center"/>
                    <w:rPr>
                      <w:kern w:val="0"/>
                      <w:lang w:bidi="ar"/>
                    </w:rPr>
                  </w:pPr>
                  <w:r>
                    <w:rPr>
                      <w:kern w:val="0"/>
                      <w:lang w:bidi="ar"/>
                    </w:rPr>
                    <w:t>5189.6</w:t>
                  </w:r>
                </w:p>
              </w:tc>
              <w:tc>
                <w:tcPr>
                  <w:tcW w:w="758" w:type="pct"/>
                  <w:tcMar>
                    <w:top w:w="15" w:type="dxa"/>
                    <w:left w:w="15" w:type="dxa"/>
                    <w:right w:w="15" w:type="dxa"/>
                  </w:tcMar>
                  <w:vAlign w:val="center"/>
                </w:tcPr>
                <w:p>
                  <w:pPr>
                    <w:widowControl/>
                    <w:jc w:val="center"/>
                    <w:textAlignment w:val="center"/>
                    <w:rPr>
                      <w:kern w:val="0"/>
                      <w:lang w:bidi="ar"/>
                    </w:rPr>
                  </w:pPr>
                  <w:r>
                    <w:t>m</w:t>
                  </w:r>
                  <w:r>
                    <w:rPr>
                      <w:vertAlign w:val="superscript"/>
                    </w:rPr>
                    <w:t>2</w:t>
                  </w:r>
                </w:p>
              </w:tc>
              <w:tc>
                <w:tcPr>
                  <w:tcW w:w="1622" w:type="pct"/>
                  <w:tcMar>
                    <w:top w:w="15" w:type="dxa"/>
                    <w:left w:w="15" w:type="dxa"/>
                    <w:right w:w="15" w:type="dxa"/>
                  </w:tcMar>
                  <w:vAlign w:val="center"/>
                </w:tcPr>
                <w:p>
                  <w:pPr>
                    <w:widowControl/>
                    <w:jc w:val="center"/>
                    <w:textAlignment w:val="center"/>
                    <w:rPr>
                      <w:kern w:val="0"/>
                      <w:lang w:bidi="ar"/>
                    </w:rPr>
                  </w:pPr>
                  <w:r>
                    <w:rPr>
                      <w:kern w:val="0"/>
                      <w:lang w:bidi="ar"/>
                    </w:rPr>
                    <w:t>四层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rPr>
                      <w:kern w:val="0"/>
                      <w:lang w:bidi="ar"/>
                    </w:rPr>
                  </w:pPr>
                  <w:r>
                    <w:rPr>
                      <w:kern w:val="0"/>
                      <w:lang w:bidi="ar"/>
                    </w:rPr>
                    <w:t>3.1.2</w:t>
                  </w:r>
                </w:p>
              </w:tc>
              <w:tc>
                <w:tcPr>
                  <w:tcW w:w="1173" w:type="pct"/>
                  <w:tcMar>
                    <w:top w:w="15" w:type="dxa"/>
                    <w:left w:w="15" w:type="dxa"/>
                    <w:right w:w="15" w:type="dxa"/>
                  </w:tcMar>
                  <w:vAlign w:val="center"/>
                </w:tcPr>
                <w:p>
                  <w:pPr>
                    <w:widowControl/>
                    <w:jc w:val="center"/>
                    <w:textAlignment w:val="center"/>
                    <w:rPr>
                      <w:kern w:val="0"/>
                      <w:lang w:bidi="ar"/>
                    </w:rPr>
                  </w:pPr>
                  <w:r>
                    <w:rPr>
                      <w:kern w:val="0"/>
                      <w:lang w:bidi="ar"/>
                    </w:rPr>
                    <w:t>门卫</w:t>
                  </w:r>
                </w:p>
              </w:tc>
              <w:tc>
                <w:tcPr>
                  <w:tcW w:w="1024" w:type="pct"/>
                  <w:tcMar>
                    <w:top w:w="15" w:type="dxa"/>
                    <w:left w:w="15" w:type="dxa"/>
                    <w:right w:w="15" w:type="dxa"/>
                  </w:tcMar>
                  <w:vAlign w:val="center"/>
                </w:tcPr>
                <w:p>
                  <w:pPr>
                    <w:widowControl/>
                    <w:jc w:val="center"/>
                    <w:textAlignment w:val="center"/>
                    <w:rPr>
                      <w:kern w:val="0"/>
                      <w:lang w:bidi="ar"/>
                    </w:rPr>
                  </w:pPr>
                  <w:r>
                    <w:rPr>
                      <w:kern w:val="0"/>
                      <w:lang w:bidi="ar"/>
                    </w:rPr>
                    <w:t>16</w:t>
                  </w:r>
                </w:p>
              </w:tc>
              <w:tc>
                <w:tcPr>
                  <w:tcW w:w="758" w:type="pct"/>
                  <w:tcMar>
                    <w:top w:w="15" w:type="dxa"/>
                    <w:left w:w="15" w:type="dxa"/>
                    <w:right w:w="15" w:type="dxa"/>
                  </w:tcMar>
                  <w:vAlign w:val="center"/>
                </w:tcPr>
                <w:p>
                  <w:pPr>
                    <w:widowControl/>
                    <w:jc w:val="center"/>
                    <w:textAlignment w:val="center"/>
                    <w:rPr>
                      <w:kern w:val="0"/>
                      <w:lang w:bidi="ar"/>
                    </w:rPr>
                  </w:pPr>
                  <w:r>
                    <w:t>m</w:t>
                  </w:r>
                  <w:r>
                    <w:rPr>
                      <w:vertAlign w:val="superscript"/>
                    </w:rPr>
                    <w:t>2</w:t>
                  </w:r>
                </w:p>
              </w:tc>
              <w:tc>
                <w:tcPr>
                  <w:tcW w:w="1622" w:type="pct"/>
                  <w:tcMar>
                    <w:top w:w="15" w:type="dxa"/>
                    <w:left w:w="15" w:type="dxa"/>
                    <w:right w:w="15" w:type="dxa"/>
                  </w:tcMar>
                  <w:vAlign w:val="center"/>
                </w:tcPr>
                <w:p>
                  <w:pPr>
                    <w:widowControl/>
                    <w:jc w:val="center"/>
                    <w:textAlignment w:val="center"/>
                    <w:rPr>
                      <w:kern w:val="0"/>
                      <w:lang w:bidi="ar"/>
                    </w:rPr>
                  </w:pPr>
                  <w:r>
                    <w:rPr>
                      <w:rFonts w:hint="eastAsia"/>
                      <w:kern w:val="0"/>
                      <w:lang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3.2</w:t>
                  </w:r>
                </w:p>
              </w:tc>
              <w:tc>
                <w:tcPr>
                  <w:tcW w:w="1173" w:type="pct"/>
                  <w:tcMar>
                    <w:top w:w="15" w:type="dxa"/>
                    <w:left w:w="15" w:type="dxa"/>
                    <w:right w:w="15" w:type="dxa"/>
                  </w:tcMar>
                  <w:vAlign w:val="center"/>
                </w:tcPr>
                <w:p>
                  <w:pPr>
                    <w:widowControl/>
                    <w:jc w:val="center"/>
                    <w:textAlignment w:val="center"/>
                  </w:pPr>
                  <w:r>
                    <w:rPr>
                      <w:kern w:val="0"/>
                      <w:lang w:bidi="ar"/>
                    </w:rPr>
                    <w:t>地下建筑面积</w:t>
                  </w:r>
                </w:p>
              </w:tc>
              <w:tc>
                <w:tcPr>
                  <w:tcW w:w="1024" w:type="pct"/>
                  <w:tcMar>
                    <w:top w:w="15" w:type="dxa"/>
                    <w:left w:w="15" w:type="dxa"/>
                    <w:right w:w="15" w:type="dxa"/>
                  </w:tcMar>
                  <w:vAlign w:val="center"/>
                </w:tcPr>
                <w:p>
                  <w:pPr>
                    <w:widowControl/>
                    <w:jc w:val="center"/>
                    <w:textAlignment w:val="center"/>
                  </w:pPr>
                  <w:r>
                    <w:rPr>
                      <w:kern w:val="0"/>
                      <w:lang w:bidi="ar"/>
                    </w:rPr>
                    <w:t>3028.54</w:t>
                  </w:r>
                </w:p>
              </w:tc>
              <w:tc>
                <w:tcPr>
                  <w:tcW w:w="758" w:type="pct"/>
                  <w:tcMar>
                    <w:top w:w="15" w:type="dxa"/>
                    <w:left w:w="15" w:type="dxa"/>
                    <w:right w:w="15" w:type="dxa"/>
                  </w:tcMar>
                  <w:vAlign w:val="center"/>
                </w:tcPr>
                <w:p>
                  <w:pPr>
                    <w:widowControl/>
                    <w:jc w:val="center"/>
                    <w:textAlignment w:val="center"/>
                  </w:pPr>
                  <w:r>
                    <w:t>m</w:t>
                  </w:r>
                  <w:r>
                    <w:rPr>
                      <w:vertAlign w:val="superscript"/>
                    </w:rPr>
                    <w:t>2</w:t>
                  </w:r>
                </w:p>
              </w:tc>
              <w:tc>
                <w:tcPr>
                  <w:tcW w:w="1622" w:type="pct"/>
                  <w:tcMar>
                    <w:top w:w="15" w:type="dxa"/>
                    <w:left w:w="15" w:type="dxa"/>
                    <w:right w:w="15" w:type="dxa"/>
                  </w:tcMar>
                  <w:vAlign w:val="center"/>
                </w:tcPr>
                <w:p>
                  <w:pPr>
                    <w:widowControl/>
                    <w:jc w:val="center"/>
                    <w:textAlignment w:val="center"/>
                  </w:pPr>
                  <w:r>
                    <w:rPr>
                      <w:kern w:val="0"/>
                      <w:lang w:bidi="ar"/>
                    </w:rPr>
                    <w:t>一层，54个停车位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rPr>
                      <w:kern w:val="0"/>
                      <w:lang w:bidi="ar"/>
                    </w:rPr>
                  </w:pPr>
                  <w:r>
                    <w:rPr>
                      <w:kern w:val="0"/>
                      <w:lang w:bidi="ar"/>
                    </w:rPr>
                    <w:t>4</w:t>
                  </w:r>
                </w:p>
              </w:tc>
              <w:tc>
                <w:tcPr>
                  <w:tcW w:w="1173" w:type="pct"/>
                  <w:tcMar>
                    <w:top w:w="15" w:type="dxa"/>
                    <w:left w:w="15" w:type="dxa"/>
                    <w:right w:w="15" w:type="dxa"/>
                  </w:tcMar>
                  <w:vAlign w:val="center"/>
                </w:tcPr>
                <w:p>
                  <w:pPr>
                    <w:widowControl/>
                    <w:jc w:val="center"/>
                    <w:textAlignment w:val="center"/>
                  </w:pPr>
                  <w:r>
                    <w:rPr>
                      <w:kern w:val="0"/>
                      <w:lang w:bidi="ar"/>
                    </w:rPr>
                    <w:t>院内绿化</w:t>
                  </w:r>
                </w:p>
              </w:tc>
              <w:tc>
                <w:tcPr>
                  <w:tcW w:w="1024" w:type="pct"/>
                  <w:tcMar>
                    <w:top w:w="15" w:type="dxa"/>
                    <w:left w:w="15" w:type="dxa"/>
                    <w:right w:w="15" w:type="dxa"/>
                  </w:tcMar>
                  <w:vAlign w:val="center"/>
                </w:tcPr>
                <w:p>
                  <w:pPr>
                    <w:widowControl/>
                    <w:jc w:val="center"/>
                    <w:textAlignment w:val="center"/>
                  </w:pPr>
                  <w:r>
                    <w:rPr>
                      <w:kern w:val="0"/>
                      <w:lang w:bidi="ar"/>
                    </w:rPr>
                    <w:t>4370.41</w:t>
                  </w:r>
                </w:p>
              </w:tc>
              <w:tc>
                <w:tcPr>
                  <w:tcW w:w="758" w:type="pct"/>
                  <w:tcMar>
                    <w:top w:w="15" w:type="dxa"/>
                    <w:left w:w="15" w:type="dxa"/>
                    <w:right w:w="15" w:type="dxa"/>
                  </w:tcMar>
                  <w:vAlign w:val="center"/>
                </w:tcPr>
                <w:p>
                  <w:pPr>
                    <w:widowControl/>
                    <w:jc w:val="center"/>
                    <w:textAlignment w:val="center"/>
                  </w:pPr>
                  <w:r>
                    <w:t>m</w:t>
                  </w:r>
                  <w:r>
                    <w:rPr>
                      <w:vertAlign w:val="superscript"/>
                    </w:rPr>
                    <w:t>2</w:t>
                  </w:r>
                </w:p>
              </w:tc>
              <w:tc>
                <w:tcPr>
                  <w:tcW w:w="1622" w:type="pct"/>
                  <w:tcMar>
                    <w:top w:w="15" w:type="dxa"/>
                    <w:left w:w="15" w:type="dxa"/>
                    <w:right w:w="15" w:type="dxa"/>
                  </w:tcMar>
                  <w:vAlign w:val="center"/>
                </w:tcPr>
                <w:p>
                  <w:pPr>
                    <w:jc w:val="center"/>
                  </w:pP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exact"/>
              </w:trPr>
              <w:tc>
                <w:tcPr>
                  <w:tcW w:w="424" w:type="pct"/>
                  <w:tcMar>
                    <w:top w:w="15" w:type="dxa"/>
                    <w:left w:w="15" w:type="dxa"/>
                    <w:right w:w="15" w:type="dxa"/>
                  </w:tcMar>
                  <w:vAlign w:val="center"/>
                </w:tcPr>
                <w:p>
                  <w:pPr>
                    <w:widowControl/>
                    <w:jc w:val="center"/>
                    <w:textAlignment w:val="center"/>
                  </w:pPr>
                  <w:r>
                    <w:rPr>
                      <w:kern w:val="0"/>
                      <w:lang w:bidi="ar"/>
                    </w:rPr>
                    <w:t>5</w:t>
                  </w:r>
                </w:p>
              </w:tc>
              <w:tc>
                <w:tcPr>
                  <w:tcW w:w="1173" w:type="pct"/>
                  <w:tcMar>
                    <w:top w:w="15" w:type="dxa"/>
                    <w:left w:w="15" w:type="dxa"/>
                    <w:right w:w="15" w:type="dxa"/>
                  </w:tcMar>
                  <w:vAlign w:val="center"/>
                </w:tcPr>
                <w:p>
                  <w:pPr>
                    <w:widowControl/>
                    <w:jc w:val="center"/>
                    <w:textAlignment w:val="center"/>
                    <w:rPr>
                      <w:kern w:val="0"/>
                      <w:lang w:bidi="ar"/>
                    </w:rPr>
                  </w:pPr>
                  <w:r>
                    <w:rPr>
                      <w:kern w:val="0"/>
                      <w:lang w:bidi="ar"/>
                    </w:rPr>
                    <w:t>绿化率</w:t>
                  </w:r>
                </w:p>
              </w:tc>
              <w:tc>
                <w:tcPr>
                  <w:tcW w:w="1024" w:type="pct"/>
                  <w:tcMar>
                    <w:top w:w="15" w:type="dxa"/>
                    <w:left w:w="15" w:type="dxa"/>
                    <w:right w:w="15" w:type="dxa"/>
                  </w:tcMar>
                  <w:vAlign w:val="center"/>
                </w:tcPr>
                <w:p>
                  <w:pPr>
                    <w:widowControl/>
                    <w:jc w:val="center"/>
                    <w:textAlignment w:val="center"/>
                    <w:rPr>
                      <w:kern w:val="0"/>
                      <w:lang w:bidi="ar"/>
                    </w:rPr>
                  </w:pPr>
                  <w:r>
                    <w:rPr>
                      <w:kern w:val="0"/>
                      <w:lang w:bidi="ar"/>
                    </w:rPr>
                    <w:t>40</w:t>
                  </w:r>
                </w:p>
              </w:tc>
              <w:tc>
                <w:tcPr>
                  <w:tcW w:w="758" w:type="pct"/>
                  <w:tcMar>
                    <w:top w:w="15" w:type="dxa"/>
                    <w:left w:w="15" w:type="dxa"/>
                    <w:right w:w="15" w:type="dxa"/>
                  </w:tcMar>
                  <w:vAlign w:val="center"/>
                </w:tcPr>
                <w:p>
                  <w:pPr>
                    <w:widowControl/>
                    <w:jc w:val="center"/>
                    <w:textAlignment w:val="center"/>
                    <w:rPr>
                      <w:kern w:val="0"/>
                      <w:lang w:bidi="ar"/>
                    </w:rPr>
                  </w:pPr>
                  <w:r>
                    <w:rPr>
                      <w:kern w:val="0"/>
                      <w:lang w:bidi="ar"/>
                    </w:rPr>
                    <w:t>%</w:t>
                  </w:r>
                </w:p>
              </w:tc>
              <w:tc>
                <w:tcPr>
                  <w:tcW w:w="1622" w:type="pct"/>
                  <w:tcMar>
                    <w:top w:w="15" w:type="dxa"/>
                    <w:left w:w="15" w:type="dxa"/>
                    <w:right w:w="15" w:type="dxa"/>
                  </w:tcMar>
                  <w:vAlign w:val="center"/>
                </w:tcPr>
                <w:p>
                  <w:pPr>
                    <w:jc w:val="center"/>
                    <w:rPr>
                      <w:kern w:val="0"/>
                      <w:lang w:bidi="ar"/>
                    </w:rPr>
                  </w:pPr>
                  <w:r>
                    <w:rPr>
                      <w:rFonts w:hint="eastAsia"/>
                      <w:kern w:val="0"/>
                      <w:lang w:bidi="ar"/>
                    </w:rPr>
                    <w:t>/</w:t>
                  </w:r>
                </w:p>
              </w:tc>
            </w:tr>
          </w:tbl>
          <w:p>
            <w:pPr>
              <w:spacing w:line="360" w:lineRule="auto"/>
              <w:rPr>
                <w:sz w:val="24"/>
                <w:szCs w:val="24"/>
              </w:rPr>
            </w:pPr>
          </w:p>
          <w:p>
            <w:pPr>
              <w:spacing w:line="360" w:lineRule="auto"/>
              <w:ind w:firstLine="360" w:firstLineChars="150"/>
              <w:rPr>
                <w:sz w:val="24"/>
                <w:szCs w:val="24"/>
              </w:rPr>
            </w:pPr>
            <w:r>
              <w:rPr>
                <w:sz w:val="24"/>
                <w:szCs w:val="24"/>
              </w:rPr>
              <w:t>扩建项目主要设备情况见表3</w:t>
            </w:r>
            <w:r>
              <w:rPr>
                <w:rFonts w:hint="eastAsia"/>
                <w:sz w:val="24"/>
                <w:szCs w:val="24"/>
              </w:rPr>
              <w:t>。</w:t>
            </w:r>
          </w:p>
          <w:p>
            <w:pPr>
              <w:pStyle w:val="82"/>
              <w:rPr>
                <w:sz w:val="24"/>
                <w:szCs w:val="24"/>
              </w:rPr>
            </w:pPr>
            <w:r>
              <w:rPr>
                <w:rFonts w:hint="eastAsia"/>
                <w:sz w:val="24"/>
                <w:szCs w:val="24"/>
              </w:rPr>
              <w:t>表2-3 扩建项目</w:t>
            </w:r>
            <w:r>
              <w:rPr>
                <w:sz w:val="24"/>
                <w:szCs w:val="24"/>
              </w:rPr>
              <w:t>主要设备一览表</w:t>
            </w:r>
          </w:p>
          <w:tbl>
            <w:tblPr>
              <w:tblStyle w:val="27"/>
              <w:tblW w:w="4811" w:type="pct"/>
              <w:jc w:val="center"/>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0" w:type="dxa"/>
                <w:bottom w:w="0" w:type="dxa"/>
                <w:right w:w="0" w:type="dxa"/>
              </w:tblCellMar>
            </w:tblPr>
            <w:tblGrid>
              <w:gridCol w:w="2775"/>
              <w:gridCol w:w="2614"/>
              <w:gridCol w:w="864"/>
              <w:gridCol w:w="1864"/>
            </w:tblGrid>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bottom w:val="single" w:color="auto" w:sz="12" w:space="0"/>
                    <w:right w:val="single" w:color="000000" w:sz="8" w:space="0"/>
                  </w:tcBorders>
                  <w:tcMar>
                    <w:top w:w="15" w:type="dxa"/>
                    <w:left w:w="15" w:type="dxa"/>
                    <w:right w:w="15" w:type="dxa"/>
                  </w:tcMar>
                  <w:vAlign w:val="center"/>
                </w:tcPr>
                <w:p>
                  <w:pPr>
                    <w:pStyle w:val="80"/>
                    <w:rPr>
                      <w:color w:val="000000"/>
                    </w:rPr>
                  </w:pPr>
                  <w:r>
                    <w:rPr>
                      <w:color w:val="000000"/>
                    </w:rPr>
                    <w:t>设备名称</w:t>
                  </w:r>
                </w:p>
              </w:tc>
              <w:tc>
                <w:tcPr>
                  <w:tcW w:w="1610" w:type="pct"/>
                  <w:tcBorders>
                    <w:left w:val="nil"/>
                    <w:bottom w:val="single" w:color="auto" w:sz="12" w:space="0"/>
                  </w:tcBorders>
                  <w:tcMar>
                    <w:top w:w="15" w:type="dxa"/>
                    <w:left w:w="15" w:type="dxa"/>
                    <w:right w:w="15" w:type="dxa"/>
                  </w:tcMar>
                  <w:vAlign w:val="center"/>
                </w:tcPr>
                <w:p>
                  <w:pPr>
                    <w:pStyle w:val="80"/>
                    <w:rPr>
                      <w:color w:val="000000"/>
                    </w:rPr>
                  </w:pPr>
                  <w:r>
                    <w:rPr>
                      <w:color w:val="000000"/>
                    </w:rPr>
                    <w:t>规格型号</w:t>
                  </w:r>
                </w:p>
              </w:tc>
              <w:tc>
                <w:tcPr>
                  <w:tcW w:w="532" w:type="pct"/>
                  <w:tcBorders>
                    <w:left w:val="nil"/>
                    <w:bottom w:val="single" w:color="auto" w:sz="12" w:space="0"/>
                  </w:tcBorders>
                  <w:tcMar>
                    <w:top w:w="15" w:type="dxa"/>
                    <w:left w:w="15" w:type="dxa"/>
                    <w:right w:w="15" w:type="dxa"/>
                  </w:tcMar>
                  <w:vAlign w:val="center"/>
                </w:tcPr>
                <w:p>
                  <w:pPr>
                    <w:pStyle w:val="80"/>
                    <w:rPr>
                      <w:color w:val="000000"/>
                    </w:rPr>
                  </w:pPr>
                  <w:r>
                    <w:rPr>
                      <w:color w:val="000000"/>
                    </w:rPr>
                    <w:t>单位</w:t>
                  </w:r>
                </w:p>
              </w:tc>
              <w:tc>
                <w:tcPr>
                  <w:tcW w:w="1148" w:type="pct"/>
                  <w:tcBorders>
                    <w:left w:val="nil"/>
                    <w:bottom w:val="single" w:color="auto" w:sz="12" w:space="0"/>
                  </w:tcBorders>
                  <w:tcMar>
                    <w:top w:w="15" w:type="dxa"/>
                    <w:left w:w="15" w:type="dxa"/>
                    <w:right w:w="15" w:type="dxa"/>
                  </w:tcMar>
                  <w:vAlign w:val="center"/>
                </w:tcPr>
                <w:p>
                  <w:pPr>
                    <w:pStyle w:val="80"/>
                    <w:rPr>
                      <w:color w:val="000000"/>
                    </w:rPr>
                  </w:pPr>
                  <w:r>
                    <w:rPr>
                      <w:color w:val="000000"/>
                    </w:rPr>
                    <w:t>数量</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80"/>
                    <w:rPr>
                      <w:color w:val="000000"/>
                    </w:rPr>
                  </w:pPr>
                  <w:r>
                    <w:rPr>
                      <w:color w:val="000000"/>
                    </w:rPr>
                    <w:t>数字化医用X射线摄影系统DR*</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NevPloneer DRHD</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心电图机</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MECG-300</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高频电刀</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GD350-D</w:t>
                  </w:r>
                </w:p>
                <w:p>
                  <w:pPr>
                    <w:pStyle w:val="80"/>
                    <w:rPr>
                      <w:color w:val="000000"/>
                    </w:rPr>
                  </w:pPr>
                  <w:r>
                    <w:rPr>
                      <w:color w:val="000000"/>
                    </w:rPr>
                    <w:t>KL-3D</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2</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低速台式离心机</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MINI-6K</w:t>
                  </w:r>
                </w:p>
                <w:p>
                  <w:pPr>
                    <w:pStyle w:val="80"/>
                    <w:rPr>
                      <w:color w:val="000000"/>
                    </w:rPr>
                  </w:pPr>
                  <w:r>
                    <w:rPr>
                      <w:color w:val="000000"/>
                    </w:rPr>
                    <w:t>TD25-WS</w:t>
                  </w:r>
                </w:p>
                <w:p>
                  <w:pPr>
                    <w:pStyle w:val="80"/>
                    <w:rPr>
                      <w:color w:val="000000"/>
                    </w:rPr>
                  </w:pPr>
                  <w:r>
                    <w:rPr>
                      <w:color w:val="000000"/>
                    </w:rPr>
                    <w:t>TD25-WS</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3</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全自动生化分析仪</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BS-330</w:t>
                  </w:r>
                </w:p>
                <w:p>
                  <w:pPr>
                    <w:pStyle w:val="80"/>
                    <w:rPr>
                      <w:color w:val="000000"/>
                    </w:rPr>
                  </w:pPr>
                  <w:r>
                    <w:rPr>
                      <w:color w:val="000000"/>
                    </w:rPr>
                    <w:t>KHB-310</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2</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lang w:eastAsia="zh-CN"/>
                    </w:rPr>
                    <w:t>全自动血液细胞分析仪</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Hemaray-83</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lang w:eastAsia="zh-CN"/>
                    </w:rPr>
                    <w:t>全自动尿液分析仪</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mejer-600</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CellMar>
                  <w:top w:w="0" w:type="dxa"/>
                  <w:left w:w="0" w:type="dxa"/>
                  <w:bottom w:w="0" w:type="dxa"/>
                  <w:right w:w="0" w:type="dxa"/>
                </w:tblCellMar>
              </w:tblPrEx>
              <w:trPr>
                <w:trHeight w:val="340" w:hRule="atLeast"/>
                <w:jc w:val="center"/>
              </w:trPr>
              <w:tc>
                <w:tcPr>
                  <w:tcW w:w="1709" w:type="pct"/>
                  <w:tcBorders>
                    <w:top w:val="single" w:color="000000" w:sz="4" w:space="0"/>
                    <w:bottom w:val="single" w:color="000000" w:sz="4" w:space="0"/>
                    <w:right w:val="single" w:color="000000" w:sz="4" w:space="0"/>
                  </w:tcBorders>
                  <w:tcMar>
                    <w:top w:w="15" w:type="dxa"/>
                    <w:left w:w="15" w:type="dxa"/>
                    <w:right w:w="15" w:type="dxa"/>
                  </w:tcMar>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lang w:eastAsia="zh-CN"/>
                    </w:rPr>
                    <w:t>彩色 B 超机</w:t>
                  </w:r>
                </w:p>
              </w:tc>
              <w:tc>
                <w:tcPr>
                  <w:tcW w:w="1610"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LDHIQC5 Premium</w:t>
                  </w:r>
                </w:p>
              </w:tc>
              <w:tc>
                <w:tcPr>
                  <w:tcW w:w="532"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台</w:t>
                  </w:r>
                </w:p>
              </w:tc>
              <w:tc>
                <w:tcPr>
                  <w:tcW w:w="1148" w:type="pct"/>
                  <w:tcBorders>
                    <w:top w:val="single" w:color="000000" w:sz="4" w:space="0"/>
                    <w:left w:val="single" w:color="000000" w:sz="4" w:space="0"/>
                    <w:bottom w:val="single" w:color="000000" w:sz="4" w:space="0"/>
                  </w:tcBorders>
                  <w:tcMar>
                    <w:top w:w="15" w:type="dxa"/>
                    <w:left w:w="15" w:type="dxa"/>
                    <w:right w:w="15" w:type="dxa"/>
                  </w:tcMar>
                  <w:vAlign w:val="center"/>
                </w:tcPr>
                <w:p>
                  <w:pPr>
                    <w:pStyle w:val="80"/>
                    <w:rPr>
                      <w:color w:val="000000"/>
                    </w:rPr>
                  </w:pPr>
                  <w:r>
                    <w:rPr>
                      <w:color w:val="000000"/>
                    </w:rPr>
                    <w:t>1</w:t>
                  </w:r>
                </w:p>
              </w:tc>
            </w:tr>
          </w:tbl>
          <w:p>
            <w:pPr>
              <w:pStyle w:val="79"/>
              <w:spacing w:line="240" w:lineRule="auto"/>
              <w:ind w:firstLine="442"/>
              <w:rPr>
                <w:b/>
                <w:color w:val="000000"/>
                <w:sz w:val="24"/>
              </w:rPr>
            </w:pPr>
            <w:r>
              <w:rPr>
                <w:b/>
                <w:bCs/>
                <w:color w:val="000000"/>
                <w:sz w:val="22"/>
                <w:szCs w:val="22"/>
              </w:rPr>
              <w:t>*注：放射类相关建设内容不在本次评价范围内，建设单位应委托具有相应资质的环境影响评价机构编制医院放射性环境影响报告。</w:t>
            </w:r>
          </w:p>
          <w:p>
            <w:pPr>
              <w:pStyle w:val="83"/>
              <w:spacing w:before="240"/>
              <w:jc w:val="both"/>
              <w:rPr>
                <w:spacing w:val="-10"/>
                <w:sz w:val="24"/>
              </w:rPr>
            </w:pPr>
            <w:r>
              <w:rPr>
                <w:rFonts w:hint="eastAsia"/>
                <w:color w:val="000000"/>
                <w:sz w:val="24"/>
              </w:rPr>
              <w:t>2、</w:t>
            </w:r>
            <w:r>
              <w:rPr>
                <w:spacing w:val="-10"/>
                <w:sz w:val="24"/>
              </w:rPr>
              <w:t>职工人数及工作制度：</w:t>
            </w:r>
          </w:p>
          <w:p>
            <w:pPr>
              <w:pStyle w:val="83"/>
              <w:ind w:firstLine="440" w:firstLineChars="200"/>
              <w:jc w:val="both"/>
              <w:rPr>
                <w:color w:val="000000"/>
                <w:sz w:val="24"/>
              </w:rPr>
            </w:pPr>
            <w:r>
              <w:rPr>
                <w:b w:val="0"/>
                <w:bCs/>
                <w:spacing w:val="-10"/>
                <w:sz w:val="24"/>
              </w:rPr>
              <w:t>新增医护人员</w:t>
            </w:r>
            <w:r>
              <w:rPr>
                <w:b w:val="0"/>
                <w:bCs/>
                <w:sz w:val="24"/>
              </w:rPr>
              <w:t>/</w:t>
            </w:r>
            <w:r>
              <w:rPr>
                <w:b w:val="0"/>
                <w:bCs/>
                <w:spacing w:val="-15"/>
                <w:sz w:val="24"/>
              </w:rPr>
              <w:t>职工共 50</w:t>
            </w:r>
            <w:r>
              <w:rPr>
                <w:b w:val="0"/>
                <w:bCs/>
                <w:spacing w:val="-18"/>
                <w:sz w:val="24"/>
              </w:rPr>
              <w:t>人，</w:t>
            </w:r>
            <w:r>
              <w:rPr>
                <w:rFonts w:hint="eastAsia"/>
                <w:b w:val="0"/>
                <w:bCs/>
                <w:spacing w:val="-18"/>
                <w:sz w:val="24"/>
              </w:rPr>
              <w:t>职工</w:t>
            </w:r>
            <w:r>
              <w:rPr>
                <w:b w:val="0"/>
                <w:bCs/>
                <w:spacing w:val="-18"/>
                <w:sz w:val="24"/>
              </w:rPr>
              <w:t xml:space="preserve">年均工作天数为 </w:t>
            </w:r>
            <w:r>
              <w:rPr>
                <w:b w:val="0"/>
                <w:bCs/>
                <w:sz w:val="24"/>
              </w:rPr>
              <w:t xml:space="preserve">240 天， </w:t>
            </w:r>
            <w:r>
              <w:rPr>
                <w:b w:val="0"/>
                <w:bCs/>
                <w:spacing w:val="-6"/>
                <w:sz w:val="24"/>
              </w:rPr>
              <w:t xml:space="preserve">医院实行轮班制，全年 </w:t>
            </w:r>
            <w:r>
              <w:rPr>
                <w:b w:val="0"/>
                <w:bCs/>
                <w:sz w:val="24"/>
              </w:rPr>
              <w:t>365 天开诊。</w:t>
            </w:r>
            <w:r>
              <w:rPr>
                <w:rFonts w:hint="eastAsia"/>
                <w:b w:val="0"/>
                <w:bCs/>
                <w:sz w:val="24"/>
              </w:rPr>
              <w:t>院区</w:t>
            </w:r>
            <w:r>
              <w:rPr>
                <w:b w:val="0"/>
                <w:bCs/>
                <w:sz w:val="24"/>
              </w:rPr>
              <w:t>内不设置宿舍楼</w:t>
            </w:r>
            <w:r>
              <w:rPr>
                <w:rFonts w:hint="eastAsia"/>
                <w:b w:val="0"/>
                <w:bCs/>
                <w:sz w:val="24"/>
              </w:rPr>
              <w:t>，在现有院区新增食堂，所有职工在食堂内就餐，食堂每天提供早、中、晚餐</w:t>
            </w:r>
            <w:r>
              <w:rPr>
                <w:b w:val="0"/>
                <w:bCs/>
                <w:sz w:val="24"/>
              </w:rPr>
              <w:t>。</w:t>
            </w:r>
          </w:p>
          <w:p>
            <w:pPr>
              <w:spacing w:line="360" w:lineRule="auto"/>
              <w:rPr>
                <w:sz w:val="24"/>
                <w:szCs w:val="24"/>
              </w:rPr>
            </w:pPr>
            <w:r>
              <w:rPr>
                <w:rFonts w:hint="eastAsia"/>
                <w:b/>
                <w:bCs/>
                <w:color w:val="000000"/>
                <w:sz w:val="24"/>
              </w:rPr>
              <w:t>3、资源</w:t>
            </w:r>
            <w:r>
              <w:rPr>
                <w:b/>
                <w:bCs/>
                <w:color w:val="000000"/>
                <w:sz w:val="24"/>
              </w:rPr>
              <w:t>消耗情况</w:t>
            </w:r>
          </w:p>
          <w:p>
            <w:pPr>
              <w:pStyle w:val="65"/>
              <w:tabs>
                <w:tab w:val="left" w:pos="1139"/>
              </w:tabs>
              <w:spacing w:before="185" w:line="360" w:lineRule="auto"/>
              <w:ind w:firstLine="480"/>
              <w:jc w:val="left"/>
              <w:rPr>
                <w:sz w:val="24"/>
              </w:rPr>
            </w:pPr>
            <w:r>
              <w:rPr>
                <w:rFonts w:hint="eastAsia"/>
                <w:sz w:val="24"/>
              </w:rPr>
              <w:t>用电：该建设</w:t>
            </w:r>
            <w:r>
              <w:rPr>
                <w:sz w:val="24"/>
              </w:rPr>
              <w:t>项目的供电</w:t>
            </w:r>
            <w:r>
              <w:rPr>
                <w:rFonts w:hint="eastAsia"/>
                <w:sz w:val="24"/>
              </w:rPr>
              <w:t>依托</w:t>
            </w:r>
            <w:r>
              <w:rPr>
                <w:sz w:val="24"/>
              </w:rPr>
              <w:t>连州市慢性病防治院供电系统，在现有机房</w:t>
            </w:r>
            <w:r>
              <w:rPr>
                <w:rFonts w:hint="eastAsia"/>
                <w:sz w:val="24"/>
              </w:rPr>
              <w:t>新</w:t>
            </w:r>
            <w:r>
              <w:rPr>
                <w:sz w:val="24"/>
              </w:rPr>
              <w:t>增一台10kV变压器提供电源，该</w:t>
            </w:r>
            <w:r>
              <w:rPr>
                <w:rFonts w:hint="eastAsia"/>
                <w:sz w:val="24"/>
              </w:rPr>
              <w:t>建设</w:t>
            </w:r>
            <w:r>
              <w:rPr>
                <w:sz w:val="24"/>
              </w:rPr>
              <w:t>项目用电由市供电局提供，年</w:t>
            </w:r>
            <w:r>
              <w:rPr>
                <w:rFonts w:hint="eastAsia"/>
                <w:sz w:val="24"/>
              </w:rPr>
              <w:t>新增</w:t>
            </w:r>
            <w:r>
              <w:rPr>
                <w:sz w:val="24"/>
              </w:rPr>
              <w:t>用电量约</w:t>
            </w:r>
            <w:r>
              <w:rPr>
                <w:rFonts w:hint="eastAsia"/>
                <w:sz w:val="24"/>
              </w:rPr>
              <w:t>100</w:t>
            </w:r>
            <w:r>
              <w:rPr>
                <w:sz w:val="24"/>
              </w:rPr>
              <w:t>万千瓦时</w:t>
            </w:r>
            <w:r>
              <w:rPr>
                <w:rFonts w:hint="eastAsia"/>
                <w:sz w:val="24"/>
              </w:rPr>
              <w:t>。</w:t>
            </w:r>
          </w:p>
          <w:p>
            <w:pPr>
              <w:pStyle w:val="65"/>
              <w:tabs>
                <w:tab w:val="left" w:pos="1139"/>
              </w:tabs>
              <w:spacing w:before="185" w:line="360" w:lineRule="auto"/>
              <w:ind w:firstLine="480"/>
              <w:jc w:val="left"/>
              <w:rPr>
                <w:sz w:val="24"/>
              </w:rPr>
            </w:pPr>
            <w:r>
              <w:rPr>
                <w:sz w:val="24"/>
              </w:rPr>
              <w:t>给水</w:t>
            </w:r>
            <w:r>
              <w:rPr>
                <w:rFonts w:hint="eastAsia"/>
                <w:sz w:val="24"/>
              </w:rPr>
              <w:t>：本扩建</w:t>
            </w:r>
            <w:r>
              <w:rPr>
                <w:spacing w:val="-6"/>
                <w:sz w:val="24"/>
              </w:rPr>
              <w:t>项目供水来自市政管网，</w:t>
            </w:r>
            <w:r>
              <w:rPr>
                <w:sz w:val="24"/>
              </w:rPr>
              <w:t>水源从连州市慢性病防治院</w:t>
            </w:r>
            <w:r>
              <w:rPr>
                <w:rFonts w:hint="eastAsia"/>
                <w:sz w:val="24"/>
              </w:rPr>
              <w:t>现有供水</w:t>
            </w:r>
            <w:r>
              <w:rPr>
                <w:sz w:val="24"/>
              </w:rPr>
              <w:t>管网驳接</w:t>
            </w:r>
            <w:r>
              <w:rPr>
                <w:rFonts w:hint="eastAsia"/>
                <w:sz w:val="24"/>
              </w:rPr>
              <w:t>，新增用水</w:t>
            </w:r>
            <w:r>
              <w:rPr>
                <w:sz w:val="24"/>
              </w:rPr>
              <w:t>主要为</w:t>
            </w:r>
            <w:r>
              <w:rPr>
                <w:color w:val="000000"/>
                <w:sz w:val="24"/>
              </w:rPr>
              <w:t>病房废水、门诊废水、医务人员办公生活废水、洗衣废水</w:t>
            </w:r>
            <w:r>
              <w:rPr>
                <w:rFonts w:hint="eastAsia"/>
                <w:color w:val="000000"/>
                <w:sz w:val="24"/>
              </w:rPr>
              <w:t>、食堂废水</w:t>
            </w:r>
            <w:r>
              <w:rPr>
                <w:color w:val="000000"/>
                <w:sz w:val="24"/>
              </w:rPr>
              <w:t>等</w:t>
            </w:r>
            <w:r>
              <w:rPr>
                <w:rFonts w:hint="eastAsia"/>
                <w:color w:val="000000"/>
                <w:sz w:val="24"/>
              </w:rPr>
              <w:t>，</w:t>
            </w:r>
            <w:r>
              <w:rPr>
                <w:rFonts w:hint="eastAsia"/>
                <w:spacing w:val="-7"/>
                <w:sz w:val="24"/>
              </w:rPr>
              <w:t>新增用水量约5</w:t>
            </w:r>
            <w:r>
              <w:rPr>
                <w:spacing w:val="-7"/>
                <w:sz w:val="24"/>
              </w:rPr>
              <w:t>6.53</w:t>
            </w:r>
            <w:r>
              <w:rPr>
                <w:rFonts w:hint="eastAsia"/>
                <w:spacing w:val="-7"/>
                <w:sz w:val="24"/>
              </w:rPr>
              <w:t>m</w:t>
            </w:r>
            <w:r>
              <w:rPr>
                <w:spacing w:val="-7"/>
                <w:sz w:val="24"/>
                <w:vertAlign w:val="superscript"/>
              </w:rPr>
              <w:t>3</w:t>
            </w:r>
            <w:r>
              <w:rPr>
                <w:spacing w:val="-7"/>
                <w:sz w:val="24"/>
              </w:rPr>
              <w:t>/d</w:t>
            </w:r>
            <w:r>
              <w:rPr>
                <w:rFonts w:hint="eastAsia"/>
                <w:spacing w:val="-7"/>
                <w:sz w:val="24"/>
              </w:rPr>
              <w:t>。</w:t>
            </w:r>
          </w:p>
          <w:p>
            <w:pPr>
              <w:pStyle w:val="65"/>
              <w:tabs>
                <w:tab w:val="left" w:pos="1139"/>
              </w:tabs>
              <w:spacing w:before="160" w:line="360" w:lineRule="auto"/>
              <w:ind w:firstLine="480"/>
              <w:jc w:val="left"/>
              <w:rPr>
                <w:color w:val="FF0000"/>
                <w:sz w:val="24"/>
              </w:rPr>
            </w:pPr>
            <w:r>
              <w:rPr>
                <w:sz w:val="24"/>
              </w:rPr>
              <w:t>排水</w:t>
            </w:r>
            <w:r>
              <w:rPr>
                <w:rFonts w:hint="eastAsia"/>
                <w:sz w:val="24"/>
              </w:rPr>
              <w:t>：本项目</w:t>
            </w:r>
            <w:r>
              <w:rPr>
                <w:spacing w:val="-6"/>
                <w:sz w:val="24"/>
              </w:rPr>
              <w:t>排水采用雨污分流制，雨水经雨水管汇集后，排入周边排水沟渠。</w:t>
            </w:r>
            <w:r>
              <w:rPr>
                <w:rFonts w:hint="eastAsia"/>
                <w:spacing w:val="-10"/>
                <w:sz w:val="24"/>
              </w:rPr>
              <w:t>新增废水</w:t>
            </w:r>
            <w:r>
              <w:rPr>
                <w:spacing w:val="2"/>
                <w:sz w:val="24"/>
              </w:rPr>
              <w:t>依托现有废水处理站处理，经处理达到《医疗机构水污染物排放标准》</w:t>
            </w:r>
            <w:r>
              <w:rPr>
                <w:sz w:val="24"/>
              </w:rPr>
              <w:t xml:space="preserve">(GB18466-2005) </w:t>
            </w:r>
            <w:r>
              <w:rPr>
                <w:color w:val="000000"/>
                <w:sz w:val="24"/>
              </w:rPr>
              <w:t>表1传染病、结核病医疗机构污染物标准值排放要</w:t>
            </w:r>
            <w:r>
              <w:rPr>
                <w:rFonts w:hint="eastAsia" w:ascii="宋体" w:hAnsi="宋体" w:cs="宋体"/>
                <w:color w:val="000000"/>
                <w:sz w:val="24"/>
              </w:rPr>
              <w:t>求，然后</w:t>
            </w:r>
            <w:r>
              <w:rPr>
                <w:spacing w:val="-2"/>
                <w:sz w:val="24"/>
              </w:rPr>
              <w:t xml:space="preserve">流经自建专管接入项目南侧 </w:t>
            </w:r>
            <w:r>
              <w:rPr>
                <w:rFonts w:eastAsia="Times New Roman"/>
                <w:sz w:val="24"/>
              </w:rPr>
              <w:t xml:space="preserve">750m </w:t>
            </w:r>
            <w:r>
              <w:rPr>
                <w:spacing w:val="2"/>
                <w:sz w:val="24"/>
              </w:rPr>
              <w:t>的市政污水管网</w:t>
            </w:r>
            <w:r>
              <w:rPr>
                <w:rFonts w:hint="eastAsia"/>
                <w:spacing w:val="2"/>
                <w:sz w:val="24"/>
              </w:rPr>
              <w:t>，</w:t>
            </w:r>
            <w:r>
              <w:rPr>
                <w:sz w:val="24"/>
              </w:rPr>
              <w:t>最终排入连州市污水处理厂。</w:t>
            </w:r>
          </w:p>
          <w:p>
            <w:pPr>
              <w:spacing w:line="360" w:lineRule="auto"/>
              <w:ind w:firstLine="482" w:firstLineChars="200"/>
              <w:rPr>
                <w:b/>
                <w:sz w:val="24"/>
                <w:szCs w:val="24"/>
              </w:rPr>
            </w:pPr>
            <w:r>
              <w:rPr>
                <w:rFonts w:hint="eastAsia"/>
                <w:b/>
                <w:color w:val="000000"/>
                <w:sz w:val="24"/>
                <w:szCs w:val="24"/>
              </w:rPr>
              <w:t>扩建项目给排水</w:t>
            </w:r>
            <w:r>
              <w:rPr>
                <w:b/>
                <w:color w:val="000000"/>
                <w:sz w:val="24"/>
                <w:szCs w:val="24"/>
              </w:rPr>
              <w:t>水</w:t>
            </w:r>
            <w:r>
              <w:rPr>
                <w:rFonts w:hint="eastAsia"/>
                <w:b/>
                <w:color w:val="000000"/>
                <w:sz w:val="24"/>
                <w:szCs w:val="24"/>
              </w:rPr>
              <w:t>量平衡</w:t>
            </w:r>
            <w:r>
              <w:rPr>
                <w:b/>
                <w:color w:val="000000"/>
                <w:sz w:val="24"/>
                <w:szCs w:val="24"/>
              </w:rPr>
              <w:t>分析</w:t>
            </w:r>
          </w:p>
          <w:p>
            <w:pPr>
              <w:pStyle w:val="79"/>
              <w:ind w:firstLine="480"/>
              <w:rPr>
                <w:color w:val="000000"/>
                <w:sz w:val="24"/>
                <w:szCs w:val="24"/>
              </w:rPr>
            </w:pPr>
            <w:r>
              <w:rPr>
                <w:color w:val="000000"/>
                <w:sz w:val="24"/>
                <w:szCs w:val="24"/>
              </w:rPr>
              <w:t>扩建项目运营期产生的废水主要为</w:t>
            </w:r>
            <w:r>
              <w:rPr>
                <w:rFonts w:hint="eastAsia"/>
                <w:color w:val="000000"/>
                <w:sz w:val="24"/>
                <w:szCs w:val="24"/>
              </w:rPr>
              <w:t>新增</w:t>
            </w:r>
            <w:r>
              <w:rPr>
                <w:color w:val="000000"/>
                <w:sz w:val="24"/>
                <w:szCs w:val="24"/>
              </w:rPr>
              <w:t>病房废水、门诊废水、医务人员办公生活废水、洗衣废水</w:t>
            </w:r>
            <w:r>
              <w:rPr>
                <w:rFonts w:hint="eastAsia"/>
                <w:color w:val="000000"/>
                <w:sz w:val="24"/>
                <w:szCs w:val="24"/>
              </w:rPr>
              <w:t>、食堂废水</w:t>
            </w:r>
            <w:r>
              <w:rPr>
                <w:color w:val="000000"/>
                <w:sz w:val="24"/>
                <w:szCs w:val="24"/>
              </w:rPr>
              <w:t>等。</w:t>
            </w:r>
          </w:p>
          <w:p>
            <w:pPr>
              <w:pStyle w:val="79"/>
              <w:ind w:firstLine="482"/>
              <w:rPr>
                <w:b/>
                <w:bCs/>
                <w:color w:val="000000"/>
                <w:sz w:val="24"/>
                <w:szCs w:val="24"/>
              </w:rPr>
            </w:pPr>
            <w:r>
              <w:rPr>
                <w:b/>
                <w:bCs/>
                <w:color w:val="000000"/>
                <w:sz w:val="24"/>
                <w:szCs w:val="24"/>
              </w:rPr>
              <w:t>病房废水：</w:t>
            </w:r>
            <w:r>
              <w:rPr>
                <w:color w:val="000000"/>
                <w:sz w:val="24"/>
                <w:szCs w:val="24"/>
              </w:rPr>
              <w:t>病房废水主要来自于住院的病人、家属的冲厕、盥洗废水等。扩建项目新增病床88张。根据《综合医院建筑设计规范》（GB 51039-2014）和《建筑给水排水设计规范（2009年版）》（GB50015-2003），医院住院部（设浴室、卫生间、盥洗）用水定额为150～250L/d·床，本次评价取用水定额按2</w:t>
            </w:r>
            <w:r>
              <w:rPr>
                <w:rFonts w:hint="eastAsia"/>
                <w:color w:val="000000"/>
                <w:sz w:val="24"/>
                <w:szCs w:val="24"/>
              </w:rPr>
              <w:t>50</w:t>
            </w:r>
            <w:r>
              <w:rPr>
                <w:color w:val="000000"/>
                <w:sz w:val="24"/>
                <w:szCs w:val="24"/>
              </w:rPr>
              <w:t xml:space="preserve"> L/d·床。扩建项目住院病房日用水量为</w:t>
            </w:r>
            <w:r>
              <w:rPr>
                <w:rFonts w:hint="eastAsia"/>
                <w:color w:val="000000"/>
                <w:sz w:val="24"/>
                <w:szCs w:val="24"/>
              </w:rPr>
              <w:t>22</w:t>
            </w:r>
            <w:r>
              <w:rPr>
                <w:color w:val="000000"/>
                <w:sz w:val="24"/>
                <w:szCs w:val="24"/>
              </w:rPr>
              <w:t>m</w:t>
            </w:r>
            <w:r>
              <w:rPr>
                <w:color w:val="000000"/>
                <w:sz w:val="24"/>
                <w:szCs w:val="24"/>
                <w:vertAlign w:val="superscript"/>
              </w:rPr>
              <w:t>3</w:t>
            </w:r>
            <w:r>
              <w:rPr>
                <w:color w:val="000000"/>
                <w:sz w:val="24"/>
                <w:szCs w:val="24"/>
              </w:rPr>
              <w:t>/d，</w:t>
            </w:r>
            <w:r>
              <w:rPr>
                <w:rFonts w:hint="eastAsia"/>
                <w:color w:val="000000"/>
                <w:sz w:val="24"/>
                <w:szCs w:val="24"/>
              </w:rPr>
              <w:t>按3</w:t>
            </w:r>
            <w:r>
              <w:rPr>
                <w:color w:val="000000"/>
                <w:sz w:val="24"/>
                <w:szCs w:val="24"/>
              </w:rPr>
              <w:t>65</w:t>
            </w:r>
            <w:r>
              <w:rPr>
                <w:rFonts w:hint="eastAsia"/>
                <w:color w:val="000000"/>
                <w:sz w:val="24"/>
                <w:szCs w:val="24"/>
              </w:rPr>
              <w:t>天计，</w:t>
            </w:r>
            <w:r>
              <w:rPr>
                <w:color w:val="000000"/>
                <w:sz w:val="24"/>
                <w:szCs w:val="24"/>
              </w:rPr>
              <w:t>年用水量为</w:t>
            </w:r>
            <w:r>
              <w:rPr>
                <w:rFonts w:hint="eastAsia"/>
                <w:color w:val="000000"/>
                <w:sz w:val="24"/>
                <w:szCs w:val="24"/>
              </w:rPr>
              <w:t>8030</w:t>
            </w:r>
            <w:r>
              <w:rPr>
                <w:color w:val="000000"/>
                <w:sz w:val="24"/>
                <w:szCs w:val="24"/>
              </w:rPr>
              <w:t>m</w:t>
            </w:r>
            <w:r>
              <w:rPr>
                <w:color w:val="000000"/>
                <w:sz w:val="24"/>
                <w:szCs w:val="24"/>
                <w:vertAlign w:val="superscript"/>
              </w:rPr>
              <w:t>3</w:t>
            </w:r>
            <w:r>
              <w:rPr>
                <w:color w:val="000000"/>
                <w:sz w:val="24"/>
                <w:szCs w:val="24"/>
              </w:rPr>
              <w:t>/a；排水量按用水量的90%计，则日排水量为</w:t>
            </w:r>
            <w:r>
              <w:rPr>
                <w:rFonts w:hint="eastAsia"/>
                <w:color w:val="000000"/>
                <w:sz w:val="24"/>
                <w:szCs w:val="24"/>
              </w:rPr>
              <w:t>19.8</w:t>
            </w:r>
            <w:r>
              <w:rPr>
                <w:color w:val="000000"/>
                <w:sz w:val="24"/>
                <w:szCs w:val="24"/>
              </w:rPr>
              <w:t>m</w:t>
            </w:r>
            <w:r>
              <w:rPr>
                <w:color w:val="000000"/>
                <w:sz w:val="24"/>
                <w:szCs w:val="24"/>
                <w:vertAlign w:val="superscript"/>
              </w:rPr>
              <w:t>3</w:t>
            </w:r>
            <w:r>
              <w:rPr>
                <w:color w:val="000000"/>
                <w:sz w:val="24"/>
                <w:szCs w:val="24"/>
              </w:rPr>
              <w:t>/d，年排水量为</w:t>
            </w:r>
            <w:r>
              <w:rPr>
                <w:rFonts w:hint="eastAsia"/>
                <w:color w:val="000000"/>
                <w:sz w:val="24"/>
                <w:szCs w:val="24"/>
              </w:rPr>
              <w:t>7227</w:t>
            </w:r>
            <w:r>
              <w:rPr>
                <w:color w:val="000000"/>
                <w:sz w:val="24"/>
                <w:szCs w:val="24"/>
              </w:rPr>
              <w:t>m</w:t>
            </w:r>
            <w:r>
              <w:rPr>
                <w:color w:val="000000"/>
                <w:sz w:val="24"/>
                <w:szCs w:val="24"/>
                <w:vertAlign w:val="superscript"/>
              </w:rPr>
              <w:t>3</w:t>
            </w:r>
            <w:r>
              <w:rPr>
                <w:color w:val="000000"/>
                <w:sz w:val="24"/>
                <w:szCs w:val="24"/>
              </w:rPr>
              <w:t>/a。</w:t>
            </w:r>
          </w:p>
          <w:p>
            <w:pPr>
              <w:pStyle w:val="79"/>
              <w:ind w:firstLine="482"/>
              <w:rPr>
                <w:b/>
                <w:bCs/>
                <w:color w:val="000000"/>
                <w:sz w:val="24"/>
                <w:szCs w:val="24"/>
              </w:rPr>
            </w:pPr>
            <w:r>
              <w:rPr>
                <w:b/>
                <w:bCs/>
                <w:color w:val="000000"/>
                <w:sz w:val="24"/>
                <w:szCs w:val="24"/>
              </w:rPr>
              <w:t>门诊废水：</w:t>
            </w:r>
            <w:r>
              <w:rPr>
                <w:rFonts w:hint="eastAsia"/>
                <w:color w:val="000000"/>
                <w:sz w:val="24"/>
                <w:szCs w:val="24"/>
              </w:rPr>
              <w:t>本</w:t>
            </w:r>
            <w:r>
              <w:rPr>
                <w:color w:val="000000"/>
                <w:sz w:val="24"/>
                <w:szCs w:val="24"/>
              </w:rPr>
              <w:t>项目门诊部每天</w:t>
            </w:r>
            <w:r>
              <w:rPr>
                <w:rFonts w:hint="eastAsia"/>
                <w:color w:val="000000"/>
                <w:sz w:val="24"/>
                <w:szCs w:val="24"/>
              </w:rPr>
              <w:t>新增</w:t>
            </w:r>
            <w:r>
              <w:rPr>
                <w:color w:val="000000"/>
                <w:sz w:val="24"/>
                <w:szCs w:val="24"/>
              </w:rPr>
              <w:t>接待就诊人员约30人，根据《综合医院建筑设计规范》（GB 51039-2014）和《建筑给水排水设计规范（2009年版）》（GB50015-2003），门诊部用水定额为10～15L/人·次，本评价按15L/人·次计。扩建项目日用水量为0.45m</w:t>
            </w:r>
            <w:r>
              <w:rPr>
                <w:color w:val="000000"/>
                <w:sz w:val="24"/>
                <w:szCs w:val="24"/>
                <w:vertAlign w:val="superscript"/>
              </w:rPr>
              <w:t>3</w:t>
            </w:r>
            <w:r>
              <w:rPr>
                <w:color w:val="000000"/>
                <w:sz w:val="24"/>
                <w:szCs w:val="24"/>
              </w:rPr>
              <w:t>，</w:t>
            </w:r>
            <w:r>
              <w:rPr>
                <w:rFonts w:hint="eastAsia"/>
                <w:color w:val="000000"/>
                <w:sz w:val="24"/>
                <w:szCs w:val="24"/>
              </w:rPr>
              <w:t>按3</w:t>
            </w:r>
            <w:r>
              <w:rPr>
                <w:color w:val="000000"/>
                <w:sz w:val="24"/>
                <w:szCs w:val="24"/>
              </w:rPr>
              <w:t>65</w:t>
            </w:r>
            <w:r>
              <w:rPr>
                <w:rFonts w:hint="eastAsia"/>
                <w:color w:val="000000"/>
                <w:sz w:val="24"/>
                <w:szCs w:val="24"/>
              </w:rPr>
              <w:t>天计，</w:t>
            </w:r>
            <w:r>
              <w:rPr>
                <w:color w:val="000000"/>
                <w:sz w:val="24"/>
                <w:szCs w:val="24"/>
              </w:rPr>
              <w:t>年用水量约为164.25m</w:t>
            </w:r>
            <w:r>
              <w:rPr>
                <w:color w:val="000000"/>
                <w:sz w:val="24"/>
                <w:szCs w:val="24"/>
                <w:vertAlign w:val="superscript"/>
              </w:rPr>
              <w:t>3</w:t>
            </w:r>
            <w:r>
              <w:rPr>
                <w:color w:val="000000"/>
                <w:sz w:val="24"/>
                <w:szCs w:val="24"/>
              </w:rPr>
              <w:t>；排水量按用水量90%计，则日排水量为0.405m</w:t>
            </w:r>
            <w:r>
              <w:rPr>
                <w:color w:val="000000"/>
                <w:sz w:val="24"/>
                <w:szCs w:val="24"/>
                <w:vertAlign w:val="superscript"/>
              </w:rPr>
              <w:t>3</w:t>
            </w:r>
            <w:r>
              <w:rPr>
                <w:color w:val="000000"/>
                <w:sz w:val="24"/>
                <w:szCs w:val="24"/>
              </w:rPr>
              <w:t>，年排水量约为147.82m</w:t>
            </w:r>
            <w:r>
              <w:rPr>
                <w:color w:val="000000"/>
                <w:sz w:val="24"/>
                <w:szCs w:val="24"/>
                <w:vertAlign w:val="superscript"/>
              </w:rPr>
              <w:t>3</w:t>
            </w:r>
            <w:r>
              <w:rPr>
                <w:color w:val="000000"/>
                <w:sz w:val="24"/>
                <w:szCs w:val="24"/>
              </w:rPr>
              <w:t>。</w:t>
            </w:r>
          </w:p>
          <w:p>
            <w:pPr>
              <w:pStyle w:val="79"/>
              <w:ind w:firstLine="482"/>
              <w:rPr>
                <w:bCs/>
                <w:snapToGrid w:val="0"/>
                <w:color w:val="000000"/>
                <w:kern w:val="0"/>
                <w:sz w:val="24"/>
                <w:szCs w:val="24"/>
              </w:rPr>
            </w:pPr>
            <w:r>
              <w:rPr>
                <w:b/>
                <w:bCs/>
                <w:color w:val="000000"/>
                <w:sz w:val="24"/>
                <w:szCs w:val="24"/>
              </w:rPr>
              <w:t>医务人员办公生活废水：</w:t>
            </w:r>
            <w:r>
              <w:rPr>
                <w:color w:val="000000"/>
                <w:sz w:val="24"/>
                <w:szCs w:val="24"/>
              </w:rPr>
              <w:t>扩建项目</w:t>
            </w:r>
            <w:r>
              <w:rPr>
                <w:bCs/>
                <w:snapToGrid w:val="0"/>
                <w:color w:val="000000"/>
                <w:kern w:val="0"/>
                <w:sz w:val="24"/>
                <w:szCs w:val="24"/>
              </w:rPr>
              <w:t>办公生活用水主要为医务人员冲厕、盥洗产生的废水、医院常规医疗过程中产生的废水。扩建项目新增劳动定员50人，根据</w:t>
            </w:r>
            <w:r>
              <w:rPr>
                <w:color w:val="000000"/>
                <w:sz w:val="24"/>
                <w:szCs w:val="24"/>
              </w:rPr>
              <w:t>《综合医院建筑设计规范》（GB 51039-2014）和《建筑给水排水设计规范（2009年版）》（GB50015-2003）</w:t>
            </w:r>
            <w:r>
              <w:rPr>
                <w:bCs/>
                <w:snapToGrid w:val="0"/>
                <w:color w:val="000000"/>
                <w:kern w:val="0"/>
                <w:sz w:val="24"/>
                <w:szCs w:val="24"/>
              </w:rPr>
              <w:t>，医务人员办公生活用水定额为150～250L/人·班，本评价按250L/人·班计。则扩建项目医务人员办公生活用水日用水量为12.5m</w:t>
            </w:r>
            <w:r>
              <w:rPr>
                <w:bCs/>
                <w:snapToGrid w:val="0"/>
                <w:color w:val="000000"/>
                <w:kern w:val="0"/>
                <w:sz w:val="24"/>
                <w:szCs w:val="24"/>
                <w:vertAlign w:val="superscript"/>
              </w:rPr>
              <w:t>3</w:t>
            </w:r>
            <w:r>
              <w:rPr>
                <w:bCs/>
                <w:snapToGrid w:val="0"/>
                <w:color w:val="000000"/>
                <w:kern w:val="0"/>
                <w:sz w:val="24"/>
                <w:szCs w:val="24"/>
              </w:rPr>
              <w:t>/d，</w:t>
            </w:r>
            <w:r>
              <w:rPr>
                <w:rFonts w:hint="eastAsia"/>
                <w:color w:val="000000"/>
                <w:sz w:val="24"/>
                <w:szCs w:val="24"/>
              </w:rPr>
              <w:t>按3</w:t>
            </w:r>
            <w:r>
              <w:rPr>
                <w:color w:val="000000"/>
                <w:sz w:val="24"/>
                <w:szCs w:val="24"/>
              </w:rPr>
              <w:t>65</w:t>
            </w:r>
            <w:r>
              <w:rPr>
                <w:rFonts w:hint="eastAsia"/>
                <w:color w:val="000000"/>
                <w:sz w:val="24"/>
                <w:szCs w:val="24"/>
              </w:rPr>
              <w:t>天计，</w:t>
            </w:r>
            <w:r>
              <w:rPr>
                <w:bCs/>
                <w:snapToGrid w:val="0"/>
                <w:color w:val="000000"/>
                <w:kern w:val="0"/>
                <w:sz w:val="24"/>
                <w:szCs w:val="24"/>
              </w:rPr>
              <w:t>年用水量为4562.5m</w:t>
            </w:r>
            <w:r>
              <w:rPr>
                <w:bCs/>
                <w:snapToGrid w:val="0"/>
                <w:color w:val="000000"/>
                <w:kern w:val="0"/>
                <w:sz w:val="24"/>
                <w:szCs w:val="24"/>
                <w:vertAlign w:val="superscript"/>
              </w:rPr>
              <w:t>3</w:t>
            </w:r>
            <w:r>
              <w:rPr>
                <w:bCs/>
                <w:snapToGrid w:val="0"/>
                <w:color w:val="000000"/>
                <w:kern w:val="0"/>
                <w:sz w:val="24"/>
                <w:szCs w:val="24"/>
              </w:rPr>
              <w:t>/a，排水量按用水量的90%计，则日排水量为11.25m</w:t>
            </w:r>
            <w:r>
              <w:rPr>
                <w:bCs/>
                <w:snapToGrid w:val="0"/>
                <w:color w:val="000000"/>
                <w:kern w:val="0"/>
                <w:sz w:val="24"/>
                <w:szCs w:val="24"/>
                <w:vertAlign w:val="superscript"/>
              </w:rPr>
              <w:t>3</w:t>
            </w:r>
            <w:r>
              <w:rPr>
                <w:bCs/>
                <w:snapToGrid w:val="0"/>
                <w:color w:val="000000"/>
                <w:kern w:val="0"/>
                <w:sz w:val="24"/>
                <w:szCs w:val="24"/>
              </w:rPr>
              <w:t>/d，年排水量为4106.25m</w:t>
            </w:r>
            <w:r>
              <w:rPr>
                <w:bCs/>
                <w:snapToGrid w:val="0"/>
                <w:color w:val="000000"/>
                <w:kern w:val="0"/>
                <w:sz w:val="24"/>
                <w:szCs w:val="24"/>
                <w:vertAlign w:val="superscript"/>
              </w:rPr>
              <w:t>3</w:t>
            </w:r>
            <w:r>
              <w:rPr>
                <w:bCs/>
                <w:snapToGrid w:val="0"/>
                <w:color w:val="000000"/>
                <w:kern w:val="0"/>
                <w:sz w:val="24"/>
                <w:szCs w:val="24"/>
              </w:rPr>
              <w:t>/a。</w:t>
            </w:r>
          </w:p>
          <w:p>
            <w:pPr>
              <w:pStyle w:val="79"/>
              <w:ind w:firstLine="482"/>
              <w:rPr>
                <w:bCs/>
                <w:snapToGrid w:val="0"/>
                <w:color w:val="000000"/>
                <w:kern w:val="0"/>
                <w:sz w:val="24"/>
                <w:szCs w:val="24"/>
              </w:rPr>
            </w:pPr>
            <w:r>
              <w:rPr>
                <w:b/>
                <w:bCs/>
                <w:color w:val="000000"/>
                <w:sz w:val="24"/>
                <w:szCs w:val="24"/>
              </w:rPr>
              <w:t>食堂废水：</w:t>
            </w:r>
            <w:r>
              <w:rPr>
                <w:rFonts w:hint="eastAsia"/>
                <w:color w:val="000000"/>
                <w:sz w:val="24"/>
                <w:szCs w:val="24"/>
              </w:rPr>
              <w:t>本扩建项目完成后</w:t>
            </w:r>
            <w:r>
              <w:rPr>
                <w:color w:val="000000"/>
                <w:sz w:val="24"/>
                <w:szCs w:val="24"/>
              </w:rPr>
              <w:t>员工</w:t>
            </w:r>
            <w:r>
              <w:rPr>
                <w:rFonts w:hint="eastAsia"/>
                <w:color w:val="000000"/>
                <w:sz w:val="24"/>
                <w:szCs w:val="24"/>
              </w:rPr>
              <w:t>总人数达2</w:t>
            </w:r>
            <w:r>
              <w:rPr>
                <w:color w:val="000000"/>
                <w:sz w:val="24"/>
                <w:szCs w:val="24"/>
              </w:rPr>
              <w:t>30</w:t>
            </w:r>
            <w:r>
              <w:rPr>
                <w:rFonts w:hint="eastAsia"/>
                <w:color w:val="000000"/>
                <w:sz w:val="24"/>
                <w:szCs w:val="24"/>
              </w:rPr>
              <w:t>人（其中现有院区1</w:t>
            </w:r>
            <w:r>
              <w:rPr>
                <w:color w:val="000000"/>
                <w:sz w:val="24"/>
                <w:szCs w:val="24"/>
              </w:rPr>
              <w:t>80</w:t>
            </w:r>
            <w:r>
              <w:rPr>
                <w:rFonts w:hint="eastAsia"/>
                <w:color w:val="000000"/>
                <w:sz w:val="24"/>
                <w:szCs w:val="24"/>
              </w:rPr>
              <w:t>人，本扩建项目新增5</w:t>
            </w:r>
            <w:r>
              <w:rPr>
                <w:color w:val="000000"/>
                <w:sz w:val="24"/>
                <w:szCs w:val="24"/>
              </w:rPr>
              <w:t>0</w:t>
            </w:r>
            <w:r>
              <w:rPr>
                <w:rFonts w:hint="eastAsia"/>
                <w:color w:val="000000"/>
                <w:sz w:val="24"/>
                <w:szCs w:val="24"/>
              </w:rPr>
              <w:t>人），</w:t>
            </w:r>
            <w:r>
              <w:rPr>
                <w:rFonts w:hint="eastAsia"/>
                <w:bCs/>
                <w:snapToGrid w:val="0"/>
                <w:color w:val="000000"/>
                <w:kern w:val="0"/>
                <w:sz w:val="24"/>
                <w:szCs w:val="24"/>
              </w:rPr>
              <w:t>按每日</w:t>
            </w:r>
            <w:r>
              <w:rPr>
                <w:bCs/>
                <w:snapToGrid w:val="0"/>
                <w:color w:val="000000"/>
                <w:kern w:val="0"/>
                <w:sz w:val="24"/>
                <w:szCs w:val="24"/>
              </w:rPr>
              <w:t>早、中、晚餐</w:t>
            </w:r>
            <w:r>
              <w:rPr>
                <w:rFonts w:hint="eastAsia"/>
                <w:bCs/>
                <w:snapToGrid w:val="0"/>
                <w:color w:val="000000"/>
                <w:kern w:val="0"/>
                <w:sz w:val="24"/>
                <w:szCs w:val="24"/>
              </w:rPr>
              <w:t>计</w:t>
            </w:r>
            <w:r>
              <w:rPr>
                <w:bCs/>
                <w:snapToGrid w:val="0"/>
                <w:color w:val="000000"/>
                <w:kern w:val="0"/>
                <w:sz w:val="24"/>
                <w:szCs w:val="24"/>
              </w:rPr>
              <w:t>，</w:t>
            </w:r>
            <w:r>
              <w:rPr>
                <w:color w:val="000000"/>
                <w:sz w:val="24"/>
                <w:szCs w:val="24"/>
              </w:rPr>
              <w:t>食堂就餐规模约</w:t>
            </w:r>
            <w:r>
              <w:rPr>
                <w:rFonts w:hint="eastAsia"/>
                <w:color w:val="000000"/>
                <w:sz w:val="24"/>
                <w:szCs w:val="24"/>
              </w:rPr>
              <w:t>6</w:t>
            </w:r>
            <w:r>
              <w:rPr>
                <w:color w:val="000000"/>
                <w:sz w:val="24"/>
                <w:szCs w:val="24"/>
              </w:rPr>
              <w:t>90人次/d</w:t>
            </w:r>
            <w:r>
              <w:rPr>
                <w:rFonts w:hint="eastAsia"/>
                <w:color w:val="000000"/>
                <w:sz w:val="24"/>
                <w:szCs w:val="24"/>
              </w:rPr>
              <w:t>，按食堂年运行时间</w:t>
            </w:r>
            <w:r>
              <w:rPr>
                <w:color w:val="000000"/>
                <w:sz w:val="24"/>
                <w:szCs w:val="24"/>
              </w:rPr>
              <w:t>240</w:t>
            </w:r>
            <w:r>
              <w:rPr>
                <w:rFonts w:hint="eastAsia"/>
                <w:color w:val="000000"/>
                <w:sz w:val="24"/>
                <w:szCs w:val="24"/>
              </w:rPr>
              <w:t>天计。</w:t>
            </w:r>
            <w:r>
              <w:rPr>
                <w:bCs/>
                <w:snapToGrid w:val="0"/>
                <w:color w:val="000000"/>
                <w:kern w:val="0"/>
                <w:sz w:val="24"/>
                <w:szCs w:val="24"/>
              </w:rPr>
              <w:t>根据</w:t>
            </w:r>
            <w:r>
              <w:rPr>
                <w:color w:val="000000"/>
                <w:sz w:val="24"/>
                <w:szCs w:val="24"/>
              </w:rPr>
              <w:t>《综合医院建筑设计规范》（GB 51039-2014）</w:t>
            </w:r>
            <w:r>
              <w:rPr>
                <w:bCs/>
                <w:snapToGrid w:val="0"/>
                <w:color w:val="000000"/>
                <w:kern w:val="0"/>
                <w:sz w:val="24"/>
                <w:szCs w:val="24"/>
              </w:rPr>
              <w:t>，医院食堂用水定额为20～25L/人·</w:t>
            </w:r>
            <w:r>
              <w:rPr>
                <w:rFonts w:hint="eastAsia"/>
                <w:bCs/>
                <w:snapToGrid w:val="0"/>
                <w:color w:val="000000"/>
                <w:kern w:val="0"/>
                <w:sz w:val="24"/>
                <w:szCs w:val="24"/>
              </w:rPr>
              <w:t>次</w:t>
            </w:r>
            <w:r>
              <w:rPr>
                <w:bCs/>
                <w:snapToGrid w:val="0"/>
                <w:color w:val="000000"/>
                <w:kern w:val="0"/>
                <w:sz w:val="24"/>
                <w:szCs w:val="24"/>
              </w:rPr>
              <w:t>，本次评价食堂用水取25L/人·次，则食堂日用水量为17.25m</w:t>
            </w:r>
            <w:r>
              <w:rPr>
                <w:bCs/>
                <w:snapToGrid w:val="0"/>
                <w:color w:val="000000"/>
                <w:kern w:val="0"/>
                <w:sz w:val="24"/>
                <w:szCs w:val="24"/>
                <w:vertAlign w:val="superscript"/>
              </w:rPr>
              <w:t>3</w:t>
            </w:r>
            <w:r>
              <w:rPr>
                <w:bCs/>
                <w:snapToGrid w:val="0"/>
                <w:color w:val="000000"/>
                <w:kern w:val="0"/>
                <w:sz w:val="24"/>
                <w:szCs w:val="24"/>
              </w:rPr>
              <w:t>/d，</w:t>
            </w:r>
            <w:r>
              <w:rPr>
                <w:rFonts w:hint="eastAsia"/>
                <w:color w:val="000000"/>
                <w:sz w:val="24"/>
                <w:szCs w:val="24"/>
              </w:rPr>
              <w:t>按</w:t>
            </w:r>
            <w:r>
              <w:rPr>
                <w:color w:val="000000"/>
                <w:sz w:val="24"/>
                <w:szCs w:val="24"/>
              </w:rPr>
              <w:t>240</w:t>
            </w:r>
            <w:r>
              <w:rPr>
                <w:rFonts w:hint="eastAsia"/>
                <w:color w:val="000000"/>
                <w:sz w:val="24"/>
                <w:szCs w:val="24"/>
              </w:rPr>
              <w:t>天计，</w:t>
            </w:r>
            <w:r>
              <w:rPr>
                <w:bCs/>
                <w:snapToGrid w:val="0"/>
                <w:color w:val="000000"/>
                <w:kern w:val="0"/>
                <w:sz w:val="24"/>
                <w:szCs w:val="24"/>
              </w:rPr>
              <w:t>年用水量为4140m</w:t>
            </w:r>
            <w:r>
              <w:rPr>
                <w:bCs/>
                <w:snapToGrid w:val="0"/>
                <w:color w:val="000000"/>
                <w:kern w:val="0"/>
                <w:sz w:val="24"/>
                <w:szCs w:val="24"/>
                <w:vertAlign w:val="superscript"/>
              </w:rPr>
              <w:t>3</w:t>
            </w:r>
            <w:r>
              <w:rPr>
                <w:bCs/>
                <w:snapToGrid w:val="0"/>
                <w:color w:val="000000"/>
                <w:kern w:val="0"/>
                <w:sz w:val="24"/>
                <w:szCs w:val="24"/>
              </w:rPr>
              <w:t>/a，排水量按用水量的90%计，则日排水量为15.</w:t>
            </w:r>
            <w:r>
              <w:rPr>
                <w:rFonts w:hint="eastAsia"/>
                <w:bCs/>
                <w:snapToGrid w:val="0"/>
                <w:color w:val="000000"/>
                <w:kern w:val="0"/>
                <w:sz w:val="24"/>
                <w:szCs w:val="24"/>
              </w:rPr>
              <w:t>5</w:t>
            </w:r>
            <w:r>
              <w:rPr>
                <w:bCs/>
                <w:snapToGrid w:val="0"/>
                <w:color w:val="000000"/>
                <w:kern w:val="0"/>
                <w:sz w:val="24"/>
                <w:szCs w:val="24"/>
              </w:rPr>
              <w:t>3m</w:t>
            </w:r>
            <w:r>
              <w:rPr>
                <w:bCs/>
                <w:snapToGrid w:val="0"/>
                <w:color w:val="000000"/>
                <w:kern w:val="0"/>
                <w:sz w:val="24"/>
                <w:szCs w:val="24"/>
                <w:vertAlign w:val="superscript"/>
              </w:rPr>
              <w:t>3</w:t>
            </w:r>
            <w:r>
              <w:rPr>
                <w:bCs/>
                <w:snapToGrid w:val="0"/>
                <w:color w:val="000000"/>
                <w:kern w:val="0"/>
                <w:sz w:val="24"/>
                <w:szCs w:val="24"/>
              </w:rPr>
              <w:t>/d，年排水量为3726m</w:t>
            </w:r>
            <w:r>
              <w:rPr>
                <w:bCs/>
                <w:snapToGrid w:val="0"/>
                <w:color w:val="000000"/>
                <w:kern w:val="0"/>
                <w:sz w:val="24"/>
                <w:szCs w:val="24"/>
                <w:vertAlign w:val="superscript"/>
              </w:rPr>
              <w:t>3</w:t>
            </w:r>
            <w:r>
              <w:rPr>
                <w:bCs/>
                <w:snapToGrid w:val="0"/>
                <w:color w:val="000000"/>
                <w:kern w:val="0"/>
                <w:sz w:val="24"/>
                <w:szCs w:val="24"/>
              </w:rPr>
              <w:t>/a。</w:t>
            </w:r>
          </w:p>
          <w:p>
            <w:pPr>
              <w:pStyle w:val="79"/>
              <w:ind w:firstLine="482"/>
              <w:rPr>
                <w:bCs/>
                <w:snapToGrid w:val="0"/>
                <w:color w:val="000000"/>
                <w:kern w:val="0"/>
                <w:sz w:val="24"/>
                <w:szCs w:val="24"/>
              </w:rPr>
            </w:pPr>
            <w:r>
              <w:rPr>
                <w:b/>
                <w:bCs/>
                <w:color w:val="000000"/>
                <w:sz w:val="24"/>
                <w:szCs w:val="24"/>
              </w:rPr>
              <w:t>洗衣废水：</w:t>
            </w:r>
            <w:r>
              <w:rPr>
                <w:bCs/>
                <w:snapToGrid w:val="0"/>
                <w:color w:val="000000"/>
                <w:kern w:val="0"/>
                <w:sz w:val="24"/>
                <w:szCs w:val="24"/>
              </w:rPr>
              <w:t>洗衣用水主要为病服、床单和被罩的洗涤用水，干衣量按2.0 kg/床计，扩建项目新增病床88张，每天的干衣量约为176kg，根据</w:t>
            </w:r>
            <w:r>
              <w:rPr>
                <w:color w:val="000000"/>
                <w:sz w:val="24"/>
                <w:szCs w:val="24"/>
              </w:rPr>
              <w:t>《综合医院建筑设计规范》（GB 51039-2014）</w:t>
            </w:r>
            <w:r>
              <w:rPr>
                <w:bCs/>
                <w:snapToGrid w:val="0"/>
                <w:color w:val="000000"/>
                <w:kern w:val="0"/>
                <w:sz w:val="24"/>
                <w:szCs w:val="24"/>
              </w:rPr>
              <w:t>，医院洗衣房用水定额为60～80 L/kg·干衣，本次评价按80 L/kg·干衣计，则洗衣房的日用水量为14.08m</w:t>
            </w:r>
            <w:r>
              <w:rPr>
                <w:bCs/>
                <w:snapToGrid w:val="0"/>
                <w:color w:val="000000"/>
                <w:kern w:val="0"/>
                <w:sz w:val="24"/>
                <w:szCs w:val="24"/>
                <w:vertAlign w:val="superscript"/>
              </w:rPr>
              <w:t>3</w:t>
            </w:r>
            <w:r>
              <w:rPr>
                <w:bCs/>
                <w:snapToGrid w:val="0"/>
                <w:color w:val="000000"/>
                <w:kern w:val="0"/>
                <w:sz w:val="24"/>
                <w:szCs w:val="24"/>
              </w:rPr>
              <w:t>/d，</w:t>
            </w:r>
            <w:r>
              <w:rPr>
                <w:rFonts w:hint="eastAsia"/>
                <w:color w:val="000000"/>
                <w:sz w:val="24"/>
                <w:szCs w:val="24"/>
              </w:rPr>
              <w:t>按3</w:t>
            </w:r>
            <w:r>
              <w:rPr>
                <w:color w:val="000000"/>
                <w:sz w:val="24"/>
                <w:szCs w:val="24"/>
              </w:rPr>
              <w:t>65</w:t>
            </w:r>
            <w:r>
              <w:rPr>
                <w:rFonts w:hint="eastAsia"/>
                <w:color w:val="000000"/>
                <w:sz w:val="24"/>
                <w:szCs w:val="24"/>
              </w:rPr>
              <w:t>天计，</w:t>
            </w:r>
            <w:r>
              <w:rPr>
                <w:bCs/>
                <w:snapToGrid w:val="0"/>
                <w:color w:val="000000"/>
                <w:kern w:val="0"/>
                <w:sz w:val="24"/>
                <w:szCs w:val="24"/>
              </w:rPr>
              <w:t>年用水量为5139.2m</w:t>
            </w:r>
            <w:r>
              <w:rPr>
                <w:bCs/>
                <w:snapToGrid w:val="0"/>
                <w:color w:val="000000"/>
                <w:kern w:val="0"/>
                <w:sz w:val="24"/>
                <w:szCs w:val="24"/>
                <w:vertAlign w:val="superscript"/>
              </w:rPr>
              <w:t>3</w:t>
            </w:r>
            <w:r>
              <w:rPr>
                <w:bCs/>
                <w:snapToGrid w:val="0"/>
                <w:color w:val="000000"/>
                <w:kern w:val="0"/>
                <w:sz w:val="24"/>
                <w:szCs w:val="24"/>
              </w:rPr>
              <w:t>/a。排水量按用水量的90%计，则日排水量为12.67m</w:t>
            </w:r>
            <w:r>
              <w:rPr>
                <w:bCs/>
                <w:snapToGrid w:val="0"/>
                <w:color w:val="000000"/>
                <w:kern w:val="0"/>
                <w:sz w:val="24"/>
                <w:szCs w:val="24"/>
                <w:vertAlign w:val="superscript"/>
              </w:rPr>
              <w:t>3</w:t>
            </w:r>
            <w:r>
              <w:rPr>
                <w:bCs/>
                <w:snapToGrid w:val="0"/>
                <w:color w:val="000000"/>
                <w:kern w:val="0"/>
                <w:sz w:val="24"/>
                <w:szCs w:val="24"/>
              </w:rPr>
              <w:t>/d，年排水量为4625.28m</w:t>
            </w:r>
            <w:r>
              <w:rPr>
                <w:bCs/>
                <w:snapToGrid w:val="0"/>
                <w:color w:val="000000"/>
                <w:kern w:val="0"/>
                <w:sz w:val="24"/>
                <w:szCs w:val="24"/>
                <w:vertAlign w:val="superscript"/>
              </w:rPr>
              <w:t>3</w:t>
            </w:r>
            <w:r>
              <w:rPr>
                <w:bCs/>
                <w:snapToGrid w:val="0"/>
                <w:color w:val="000000"/>
                <w:kern w:val="0"/>
                <w:sz w:val="24"/>
                <w:szCs w:val="24"/>
              </w:rPr>
              <w:t>/a。</w:t>
            </w:r>
          </w:p>
          <w:p>
            <w:pPr>
              <w:pStyle w:val="79"/>
              <w:ind w:firstLine="480"/>
              <w:rPr>
                <w:color w:val="000000"/>
                <w:sz w:val="24"/>
                <w:szCs w:val="24"/>
              </w:rPr>
            </w:pPr>
            <w:r>
              <w:rPr>
                <w:color w:val="000000"/>
                <w:sz w:val="24"/>
                <w:szCs w:val="24"/>
              </w:rPr>
              <w:t>综上分析，扩建项目日新增新鲜用水量约66.28m</w:t>
            </w:r>
            <w:r>
              <w:rPr>
                <w:color w:val="000000"/>
                <w:sz w:val="24"/>
                <w:szCs w:val="24"/>
                <w:vertAlign w:val="superscript"/>
              </w:rPr>
              <w:t>3</w:t>
            </w:r>
            <w:r>
              <w:rPr>
                <w:color w:val="000000"/>
                <w:sz w:val="24"/>
                <w:szCs w:val="24"/>
              </w:rPr>
              <w:t>，日新增排污水量为</w:t>
            </w:r>
            <w:r>
              <w:rPr>
                <w:rFonts w:hint="eastAsia"/>
                <w:color w:val="000000"/>
                <w:sz w:val="24"/>
                <w:szCs w:val="24"/>
              </w:rPr>
              <w:t>59.66</w:t>
            </w:r>
            <w:r>
              <w:rPr>
                <w:color w:val="000000"/>
                <w:sz w:val="24"/>
                <w:szCs w:val="24"/>
              </w:rPr>
              <w:t>m</w:t>
            </w:r>
            <w:r>
              <w:rPr>
                <w:color w:val="000000"/>
                <w:sz w:val="24"/>
                <w:szCs w:val="24"/>
                <w:vertAlign w:val="superscript"/>
              </w:rPr>
              <w:t>3</w:t>
            </w:r>
            <w:r>
              <w:rPr>
                <w:color w:val="000000"/>
                <w:sz w:val="24"/>
                <w:szCs w:val="24"/>
              </w:rPr>
              <w:t>；年用新鲜水量</w:t>
            </w:r>
            <w:r>
              <w:rPr>
                <w:rFonts w:hint="eastAsia"/>
                <w:color w:val="000000"/>
                <w:sz w:val="24"/>
                <w:szCs w:val="24"/>
              </w:rPr>
              <w:t>22035.95</w:t>
            </w:r>
            <w:r>
              <w:rPr>
                <w:color w:val="000000"/>
                <w:sz w:val="24"/>
                <w:szCs w:val="24"/>
              </w:rPr>
              <w:t>m</w:t>
            </w:r>
            <w:r>
              <w:rPr>
                <w:color w:val="000000"/>
                <w:sz w:val="24"/>
                <w:szCs w:val="24"/>
                <w:vertAlign w:val="superscript"/>
              </w:rPr>
              <w:t>3</w:t>
            </w:r>
            <w:r>
              <w:rPr>
                <w:color w:val="000000"/>
                <w:sz w:val="24"/>
                <w:szCs w:val="24"/>
              </w:rPr>
              <w:t>，年污水排水量约</w:t>
            </w:r>
            <w:r>
              <w:rPr>
                <w:rFonts w:hint="eastAsia"/>
                <w:color w:val="000000"/>
                <w:sz w:val="24"/>
                <w:szCs w:val="24"/>
              </w:rPr>
              <w:t>19831.63</w:t>
            </w:r>
            <w:r>
              <w:rPr>
                <w:color w:val="000000"/>
                <w:sz w:val="24"/>
                <w:szCs w:val="24"/>
              </w:rPr>
              <w:t>m</w:t>
            </w:r>
            <w:r>
              <w:rPr>
                <w:color w:val="000000"/>
                <w:sz w:val="24"/>
                <w:szCs w:val="24"/>
                <w:vertAlign w:val="superscript"/>
              </w:rPr>
              <w:t>3</w:t>
            </w:r>
            <w:r>
              <w:rPr>
                <w:color w:val="000000"/>
                <w:sz w:val="24"/>
                <w:szCs w:val="24"/>
              </w:rPr>
              <w:t>。扩建项目水平衡表见下表</w:t>
            </w:r>
            <w:r>
              <w:rPr>
                <w:rFonts w:hint="eastAsia"/>
                <w:color w:val="000000"/>
                <w:sz w:val="24"/>
                <w:szCs w:val="24"/>
              </w:rPr>
              <w:t>2-4</w:t>
            </w:r>
            <w:r>
              <w:rPr>
                <w:color w:val="000000"/>
                <w:sz w:val="24"/>
                <w:szCs w:val="24"/>
              </w:rPr>
              <w:t>，水平衡图见下图</w:t>
            </w:r>
            <w:r>
              <w:rPr>
                <w:rFonts w:hint="eastAsia"/>
                <w:color w:val="000000"/>
                <w:sz w:val="24"/>
                <w:szCs w:val="24"/>
              </w:rPr>
              <w:t>2-1</w:t>
            </w:r>
            <w:r>
              <w:rPr>
                <w:color w:val="000000"/>
                <w:sz w:val="24"/>
                <w:szCs w:val="24"/>
              </w:rPr>
              <w:t>。</w:t>
            </w:r>
          </w:p>
          <w:p>
            <w:pPr>
              <w:pStyle w:val="82"/>
              <w:rPr>
                <w:color w:val="000000"/>
                <w:sz w:val="24"/>
                <w:szCs w:val="24"/>
              </w:rPr>
            </w:pPr>
            <w:r>
              <w:rPr>
                <w:rFonts w:hint="eastAsia"/>
                <w:color w:val="000000"/>
                <w:sz w:val="24"/>
                <w:szCs w:val="24"/>
              </w:rPr>
              <w:t>表2-4扩建项目水平衡表见下表</w:t>
            </w:r>
          </w:p>
          <w:tbl>
            <w:tblPr>
              <w:tblStyle w:val="27"/>
              <w:tblW w:w="8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3"/>
              <w:gridCol w:w="2440"/>
              <w:gridCol w:w="1703"/>
              <w:gridCol w:w="1669"/>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tcBorders>
                    <w:tl2br w:val="nil"/>
                    <w:tr2bl w:val="nil"/>
                  </w:tcBorders>
                  <w:noWrap/>
                  <w:tcMar>
                    <w:top w:w="15" w:type="dxa"/>
                    <w:left w:w="15" w:type="dxa"/>
                    <w:right w:w="15" w:type="dxa"/>
                  </w:tcMar>
                  <w:vAlign w:val="center"/>
                </w:tcPr>
                <w:p>
                  <w:pPr>
                    <w:pStyle w:val="80"/>
                    <w:rPr>
                      <w:color w:val="000000"/>
                    </w:rPr>
                  </w:pPr>
                  <w:r>
                    <w:rPr>
                      <w:rFonts w:hint="eastAsia"/>
                      <w:color w:val="000000"/>
                    </w:rPr>
                    <w:t>项目</w:t>
                  </w:r>
                </w:p>
              </w:tc>
              <w:tc>
                <w:tcPr>
                  <w:tcW w:w="2440" w:type="dxa"/>
                  <w:tcBorders>
                    <w:tl2br w:val="nil"/>
                    <w:tr2bl w:val="nil"/>
                  </w:tcBorders>
                  <w:tcMar>
                    <w:top w:w="15" w:type="dxa"/>
                    <w:left w:w="15" w:type="dxa"/>
                    <w:right w:w="15" w:type="dxa"/>
                  </w:tcMar>
                  <w:vAlign w:val="center"/>
                </w:tcPr>
                <w:p>
                  <w:pPr>
                    <w:pStyle w:val="80"/>
                    <w:rPr>
                      <w:color w:val="000000"/>
                    </w:rPr>
                  </w:pPr>
                  <w:r>
                    <w:rPr>
                      <w:rFonts w:hint="eastAsia"/>
                      <w:color w:val="000000"/>
                    </w:rPr>
                    <w:t>用水部门</w:t>
                  </w:r>
                </w:p>
              </w:tc>
              <w:tc>
                <w:tcPr>
                  <w:tcW w:w="1703" w:type="dxa"/>
                  <w:tcBorders>
                    <w:tl2br w:val="nil"/>
                    <w:tr2bl w:val="nil"/>
                  </w:tcBorders>
                  <w:tcMar>
                    <w:top w:w="15" w:type="dxa"/>
                    <w:left w:w="15" w:type="dxa"/>
                    <w:right w:w="15" w:type="dxa"/>
                  </w:tcMar>
                  <w:vAlign w:val="center"/>
                </w:tcPr>
                <w:p>
                  <w:pPr>
                    <w:pStyle w:val="80"/>
                    <w:rPr>
                      <w:color w:val="000000"/>
                    </w:rPr>
                  </w:pPr>
                  <w:r>
                    <w:rPr>
                      <w:color w:val="000000"/>
                    </w:rPr>
                    <w:t>新鲜水（m</w:t>
                  </w:r>
                  <w:r>
                    <w:rPr>
                      <w:color w:val="000000"/>
                      <w:vertAlign w:val="superscript"/>
                    </w:rPr>
                    <w:t>3</w:t>
                  </w:r>
                  <w:r>
                    <w:rPr>
                      <w:color w:val="000000"/>
                    </w:rPr>
                    <w:t>/</w:t>
                  </w:r>
                  <w:r>
                    <w:rPr>
                      <w:rFonts w:hint="eastAsia"/>
                      <w:color w:val="000000"/>
                    </w:rPr>
                    <w:t>d</w:t>
                  </w:r>
                  <w:r>
                    <w:rPr>
                      <w:color w:val="000000"/>
                    </w:rPr>
                    <w:t>）</w:t>
                  </w:r>
                </w:p>
              </w:tc>
              <w:tc>
                <w:tcPr>
                  <w:tcW w:w="1669" w:type="dxa"/>
                  <w:tcBorders>
                    <w:tl2br w:val="nil"/>
                    <w:tr2bl w:val="nil"/>
                  </w:tcBorders>
                  <w:tcMar>
                    <w:top w:w="15" w:type="dxa"/>
                    <w:left w:w="15" w:type="dxa"/>
                    <w:right w:w="15" w:type="dxa"/>
                  </w:tcMar>
                  <w:vAlign w:val="center"/>
                </w:tcPr>
                <w:p>
                  <w:pPr>
                    <w:pStyle w:val="80"/>
                    <w:rPr>
                      <w:color w:val="000000"/>
                    </w:rPr>
                  </w:pPr>
                  <w:r>
                    <w:rPr>
                      <w:color w:val="000000"/>
                    </w:rPr>
                    <w:t>损耗（m</w:t>
                  </w:r>
                  <w:r>
                    <w:rPr>
                      <w:color w:val="000000"/>
                      <w:vertAlign w:val="superscript"/>
                    </w:rPr>
                    <w:t>3</w:t>
                  </w:r>
                  <w:r>
                    <w:rPr>
                      <w:color w:val="000000"/>
                    </w:rPr>
                    <w:t>/</w:t>
                  </w:r>
                  <w:r>
                    <w:rPr>
                      <w:rFonts w:hint="eastAsia"/>
                      <w:color w:val="000000"/>
                    </w:rPr>
                    <w:t>d</w:t>
                  </w:r>
                  <w:r>
                    <w:rPr>
                      <w:color w:val="000000"/>
                    </w:rPr>
                    <w:t>）</w:t>
                  </w:r>
                </w:p>
              </w:tc>
              <w:tc>
                <w:tcPr>
                  <w:tcW w:w="1638" w:type="dxa"/>
                  <w:tcBorders>
                    <w:tl2br w:val="nil"/>
                    <w:tr2bl w:val="nil"/>
                  </w:tcBorders>
                  <w:tcMar>
                    <w:top w:w="15" w:type="dxa"/>
                    <w:left w:w="15" w:type="dxa"/>
                    <w:right w:w="15" w:type="dxa"/>
                  </w:tcMar>
                  <w:vAlign w:val="center"/>
                </w:tcPr>
                <w:p>
                  <w:pPr>
                    <w:pStyle w:val="80"/>
                    <w:rPr>
                      <w:color w:val="000000"/>
                    </w:rPr>
                  </w:pPr>
                  <w:r>
                    <w:rPr>
                      <w:rFonts w:hint="eastAsia"/>
                      <w:color w:val="000000"/>
                    </w:rPr>
                    <w:t>废水</w:t>
                  </w:r>
                  <w:r>
                    <w:rPr>
                      <w:color w:val="000000"/>
                    </w:rPr>
                    <w:t>（m</w:t>
                  </w:r>
                  <w:r>
                    <w:rPr>
                      <w:color w:val="000000"/>
                      <w:vertAlign w:val="superscript"/>
                    </w:rPr>
                    <w:t>3</w:t>
                  </w:r>
                  <w:r>
                    <w:rPr>
                      <w:color w:val="000000"/>
                    </w:rPr>
                    <w:t>/</w:t>
                  </w:r>
                  <w:r>
                    <w:rPr>
                      <w:rFonts w:hint="eastAsia"/>
                      <w:color w:val="000000"/>
                    </w:rPr>
                    <w:t>d</w:t>
                  </w:r>
                  <w:r>
                    <w:rPr>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restart"/>
                  <w:tcBorders>
                    <w:tl2br w:val="nil"/>
                    <w:tr2bl w:val="nil"/>
                  </w:tcBorders>
                  <w:tcMar>
                    <w:top w:w="15" w:type="dxa"/>
                    <w:left w:w="15" w:type="dxa"/>
                    <w:right w:w="15" w:type="dxa"/>
                  </w:tcMar>
                  <w:vAlign w:val="center"/>
                </w:tcPr>
                <w:p>
                  <w:pPr>
                    <w:pStyle w:val="80"/>
                    <w:rPr>
                      <w:color w:val="000000"/>
                    </w:rPr>
                  </w:pPr>
                  <w:r>
                    <w:rPr>
                      <w:rFonts w:hint="eastAsia"/>
                      <w:color w:val="000000"/>
                    </w:rPr>
                    <w:t>扩建项目</w:t>
                  </w:r>
                </w:p>
              </w:tc>
              <w:tc>
                <w:tcPr>
                  <w:tcW w:w="2440" w:type="dxa"/>
                  <w:tcBorders>
                    <w:tl2br w:val="nil"/>
                    <w:tr2bl w:val="nil"/>
                  </w:tcBorders>
                  <w:tcMar>
                    <w:top w:w="15" w:type="dxa"/>
                    <w:left w:w="15" w:type="dxa"/>
                    <w:right w:w="15" w:type="dxa"/>
                  </w:tcMar>
                  <w:vAlign w:val="center"/>
                </w:tcPr>
                <w:p>
                  <w:pPr>
                    <w:pStyle w:val="80"/>
                    <w:rPr>
                      <w:color w:val="000000"/>
                      <w:szCs w:val="24"/>
                    </w:rPr>
                  </w:pPr>
                  <w:r>
                    <w:rPr>
                      <w:color w:val="000000"/>
                    </w:rPr>
                    <w:t>病房</w:t>
                  </w:r>
                </w:p>
              </w:tc>
              <w:tc>
                <w:tcPr>
                  <w:tcW w:w="1703" w:type="dxa"/>
                  <w:tcBorders>
                    <w:tl2br w:val="nil"/>
                    <w:tr2bl w:val="nil"/>
                  </w:tcBorders>
                  <w:tcMar>
                    <w:top w:w="15" w:type="dxa"/>
                    <w:left w:w="15" w:type="dxa"/>
                    <w:right w:w="15" w:type="dxa"/>
                  </w:tcMar>
                  <w:vAlign w:val="center"/>
                </w:tcPr>
                <w:p>
                  <w:pPr>
                    <w:pStyle w:val="80"/>
                    <w:rPr>
                      <w:color w:val="000000"/>
                    </w:rPr>
                  </w:pPr>
                  <w:r>
                    <w:rPr>
                      <w:rFonts w:hint="eastAsia"/>
                      <w:color w:val="000000"/>
                    </w:rPr>
                    <w:t>22</w:t>
                  </w:r>
                </w:p>
              </w:tc>
              <w:tc>
                <w:tcPr>
                  <w:tcW w:w="1669" w:type="dxa"/>
                  <w:tcBorders>
                    <w:tl2br w:val="nil"/>
                    <w:tr2bl w:val="nil"/>
                  </w:tcBorders>
                  <w:tcMar>
                    <w:top w:w="15" w:type="dxa"/>
                    <w:left w:w="15" w:type="dxa"/>
                    <w:right w:w="15" w:type="dxa"/>
                  </w:tcMar>
                  <w:vAlign w:val="center"/>
                </w:tcPr>
                <w:p>
                  <w:pPr>
                    <w:pStyle w:val="80"/>
                    <w:rPr>
                      <w:color w:val="000000"/>
                    </w:rPr>
                  </w:pPr>
                  <w:r>
                    <w:rPr>
                      <w:rFonts w:hint="eastAsia"/>
                      <w:color w:val="000000"/>
                    </w:rPr>
                    <w:t>2.2</w:t>
                  </w:r>
                </w:p>
              </w:tc>
              <w:tc>
                <w:tcPr>
                  <w:tcW w:w="1638" w:type="dxa"/>
                  <w:tcBorders>
                    <w:tl2br w:val="nil"/>
                    <w:tr2bl w:val="nil"/>
                  </w:tcBorders>
                  <w:tcMar>
                    <w:top w:w="15" w:type="dxa"/>
                    <w:left w:w="15" w:type="dxa"/>
                    <w:right w:w="15" w:type="dxa"/>
                  </w:tcMar>
                  <w:vAlign w:val="center"/>
                </w:tcPr>
                <w:p>
                  <w:pPr>
                    <w:pStyle w:val="80"/>
                    <w:rPr>
                      <w:color w:val="000000"/>
                    </w:rPr>
                  </w:pPr>
                  <w:r>
                    <w:rPr>
                      <w:rFonts w:hint="eastAsia"/>
                      <w:color w:val="000000"/>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continue"/>
                  <w:tcBorders>
                    <w:tl2br w:val="nil"/>
                    <w:tr2bl w:val="nil"/>
                  </w:tcBorders>
                  <w:tcMar>
                    <w:top w:w="15" w:type="dxa"/>
                    <w:left w:w="15" w:type="dxa"/>
                    <w:right w:w="15" w:type="dxa"/>
                  </w:tcMar>
                  <w:vAlign w:val="center"/>
                </w:tcPr>
                <w:p>
                  <w:pPr>
                    <w:pStyle w:val="80"/>
                    <w:rPr>
                      <w:color w:val="000000"/>
                    </w:rPr>
                  </w:pPr>
                </w:p>
              </w:tc>
              <w:tc>
                <w:tcPr>
                  <w:tcW w:w="2440" w:type="dxa"/>
                  <w:tcBorders>
                    <w:tl2br w:val="nil"/>
                    <w:tr2bl w:val="nil"/>
                  </w:tcBorders>
                  <w:tcMar>
                    <w:top w:w="15" w:type="dxa"/>
                    <w:left w:w="15" w:type="dxa"/>
                    <w:right w:w="15" w:type="dxa"/>
                  </w:tcMar>
                  <w:vAlign w:val="center"/>
                </w:tcPr>
                <w:p>
                  <w:pPr>
                    <w:pStyle w:val="80"/>
                    <w:rPr>
                      <w:color w:val="000000"/>
                      <w:szCs w:val="24"/>
                    </w:rPr>
                  </w:pPr>
                  <w:r>
                    <w:rPr>
                      <w:color w:val="000000"/>
                    </w:rPr>
                    <w:t>门诊</w:t>
                  </w:r>
                </w:p>
              </w:tc>
              <w:tc>
                <w:tcPr>
                  <w:tcW w:w="1703" w:type="dxa"/>
                  <w:tcBorders>
                    <w:tl2br w:val="nil"/>
                    <w:tr2bl w:val="nil"/>
                  </w:tcBorders>
                  <w:tcMar>
                    <w:top w:w="15" w:type="dxa"/>
                    <w:left w:w="15" w:type="dxa"/>
                    <w:right w:w="15" w:type="dxa"/>
                  </w:tcMar>
                  <w:vAlign w:val="center"/>
                </w:tcPr>
                <w:p>
                  <w:pPr>
                    <w:pStyle w:val="80"/>
                    <w:rPr>
                      <w:color w:val="000000"/>
                    </w:rPr>
                  </w:pPr>
                  <w:r>
                    <w:rPr>
                      <w:rFonts w:hint="eastAsia"/>
                      <w:color w:val="000000"/>
                    </w:rPr>
                    <w:t>0.45</w:t>
                  </w:r>
                </w:p>
              </w:tc>
              <w:tc>
                <w:tcPr>
                  <w:tcW w:w="1669" w:type="dxa"/>
                  <w:tcBorders>
                    <w:tl2br w:val="nil"/>
                    <w:tr2bl w:val="nil"/>
                  </w:tcBorders>
                  <w:tcMar>
                    <w:top w:w="15" w:type="dxa"/>
                    <w:left w:w="15" w:type="dxa"/>
                    <w:right w:w="15" w:type="dxa"/>
                  </w:tcMar>
                  <w:vAlign w:val="center"/>
                </w:tcPr>
                <w:p>
                  <w:pPr>
                    <w:pStyle w:val="80"/>
                    <w:rPr>
                      <w:color w:val="000000"/>
                    </w:rPr>
                  </w:pPr>
                  <w:r>
                    <w:rPr>
                      <w:rFonts w:hint="eastAsia"/>
                      <w:color w:val="000000"/>
                    </w:rPr>
                    <w:t>0.045</w:t>
                  </w:r>
                </w:p>
              </w:tc>
              <w:tc>
                <w:tcPr>
                  <w:tcW w:w="1638" w:type="dxa"/>
                  <w:tcBorders>
                    <w:tl2br w:val="nil"/>
                    <w:tr2bl w:val="nil"/>
                  </w:tcBorders>
                  <w:tcMar>
                    <w:top w:w="15" w:type="dxa"/>
                    <w:left w:w="15" w:type="dxa"/>
                    <w:right w:w="15" w:type="dxa"/>
                  </w:tcMar>
                  <w:vAlign w:val="center"/>
                </w:tcPr>
                <w:p>
                  <w:pPr>
                    <w:pStyle w:val="80"/>
                    <w:rPr>
                      <w:color w:val="000000"/>
                    </w:rPr>
                  </w:pPr>
                  <w:r>
                    <w:rPr>
                      <w:rFonts w:hint="eastAsia"/>
                      <w:color w:val="000000"/>
                    </w:rPr>
                    <w:t>0.405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continue"/>
                  <w:tcBorders>
                    <w:tl2br w:val="nil"/>
                    <w:tr2bl w:val="nil"/>
                  </w:tcBorders>
                  <w:tcMar>
                    <w:top w:w="15" w:type="dxa"/>
                    <w:left w:w="15" w:type="dxa"/>
                    <w:right w:w="15" w:type="dxa"/>
                  </w:tcMar>
                  <w:vAlign w:val="center"/>
                </w:tcPr>
                <w:p>
                  <w:pPr>
                    <w:pStyle w:val="80"/>
                    <w:rPr>
                      <w:color w:val="000000"/>
                    </w:rPr>
                  </w:pPr>
                </w:p>
              </w:tc>
              <w:tc>
                <w:tcPr>
                  <w:tcW w:w="2440" w:type="dxa"/>
                  <w:tcBorders>
                    <w:tl2br w:val="nil"/>
                    <w:tr2bl w:val="nil"/>
                  </w:tcBorders>
                  <w:tcMar>
                    <w:top w:w="15" w:type="dxa"/>
                    <w:left w:w="15" w:type="dxa"/>
                    <w:right w:w="15" w:type="dxa"/>
                  </w:tcMar>
                  <w:vAlign w:val="center"/>
                </w:tcPr>
                <w:p>
                  <w:pPr>
                    <w:pStyle w:val="80"/>
                    <w:rPr>
                      <w:color w:val="000000"/>
                      <w:szCs w:val="24"/>
                    </w:rPr>
                  </w:pPr>
                  <w:r>
                    <w:rPr>
                      <w:rFonts w:hint="eastAsia"/>
                      <w:color w:val="000000"/>
                    </w:rPr>
                    <w:t>医务人员办公生活</w:t>
                  </w:r>
                </w:p>
              </w:tc>
              <w:tc>
                <w:tcPr>
                  <w:tcW w:w="1703" w:type="dxa"/>
                  <w:tcBorders>
                    <w:tl2br w:val="nil"/>
                    <w:tr2bl w:val="nil"/>
                  </w:tcBorders>
                  <w:tcMar>
                    <w:top w:w="15" w:type="dxa"/>
                    <w:left w:w="15" w:type="dxa"/>
                    <w:right w:w="15" w:type="dxa"/>
                  </w:tcMar>
                  <w:vAlign w:val="center"/>
                </w:tcPr>
                <w:p>
                  <w:pPr>
                    <w:pStyle w:val="80"/>
                    <w:rPr>
                      <w:color w:val="000000"/>
                    </w:rPr>
                  </w:pPr>
                  <w:r>
                    <w:rPr>
                      <w:rFonts w:hint="eastAsia"/>
                      <w:color w:val="000000"/>
                    </w:rPr>
                    <w:t>12.5</w:t>
                  </w:r>
                </w:p>
              </w:tc>
              <w:tc>
                <w:tcPr>
                  <w:tcW w:w="1669" w:type="dxa"/>
                  <w:tcBorders>
                    <w:tl2br w:val="nil"/>
                    <w:tr2bl w:val="nil"/>
                  </w:tcBorders>
                  <w:tcMar>
                    <w:top w:w="15" w:type="dxa"/>
                    <w:left w:w="15" w:type="dxa"/>
                    <w:right w:w="15" w:type="dxa"/>
                  </w:tcMar>
                  <w:vAlign w:val="center"/>
                </w:tcPr>
                <w:p>
                  <w:pPr>
                    <w:pStyle w:val="80"/>
                    <w:rPr>
                      <w:color w:val="000000"/>
                    </w:rPr>
                  </w:pPr>
                  <w:r>
                    <w:rPr>
                      <w:rFonts w:hint="eastAsia"/>
                      <w:color w:val="000000"/>
                    </w:rPr>
                    <w:t>1.25</w:t>
                  </w:r>
                </w:p>
              </w:tc>
              <w:tc>
                <w:tcPr>
                  <w:tcW w:w="1638" w:type="dxa"/>
                  <w:tcBorders>
                    <w:tl2br w:val="nil"/>
                    <w:tr2bl w:val="nil"/>
                  </w:tcBorders>
                  <w:tcMar>
                    <w:top w:w="15" w:type="dxa"/>
                    <w:left w:w="15" w:type="dxa"/>
                    <w:right w:w="15" w:type="dxa"/>
                  </w:tcMar>
                  <w:vAlign w:val="center"/>
                </w:tcPr>
                <w:p>
                  <w:pPr>
                    <w:pStyle w:val="80"/>
                    <w:rPr>
                      <w:color w:val="000000"/>
                    </w:rPr>
                  </w:pPr>
                  <w:r>
                    <w:rPr>
                      <w:rFonts w:hint="eastAsia"/>
                      <w:color w:val="000000"/>
                    </w:rPr>
                    <w:t>11.25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continue"/>
                  <w:tcBorders>
                    <w:tl2br w:val="nil"/>
                    <w:tr2bl w:val="nil"/>
                  </w:tcBorders>
                  <w:tcMar>
                    <w:top w:w="15" w:type="dxa"/>
                    <w:left w:w="15" w:type="dxa"/>
                    <w:right w:w="15" w:type="dxa"/>
                  </w:tcMar>
                  <w:vAlign w:val="center"/>
                </w:tcPr>
                <w:p>
                  <w:pPr>
                    <w:pStyle w:val="80"/>
                    <w:rPr>
                      <w:color w:val="000000"/>
                    </w:rPr>
                  </w:pPr>
                </w:p>
              </w:tc>
              <w:tc>
                <w:tcPr>
                  <w:tcW w:w="2440" w:type="dxa"/>
                  <w:tcBorders>
                    <w:tl2br w:val="nil"/>
                    <w:tr2bl w:val="nil"/>
                  </w:tcBorders>
                  <w:tcMar>
                    <w:top w:w="15" w:type="dxa"/>
                    <w:left w:w="15" w:type="dxa"/>
                    <w:right w:w="15" w:type="dxa"/>
                  </w:tcMar>
                  <w:vAlign w:val="center"/>
                </w:tcPr>
                <w:p>
                  <w:pPr>
                    <w:pStyle w:val="80"/>
                    <w:rPr>
                      <w:color w:val="000000"/>
                      <w:szCs w:val="24"/>
                    </w:rPr>
                  </w:pPr>
                  <w:r>
                    <w:rPr>
                      <w:rFonts w:hint="eastAsia"/>
                      <w:color w:val="000000"/>
                    </w:rPr>
                    <w:t>洗衣房</w:t>
                  </w:r>
                </w:p>
              </w:tc>
              <w:tc>
                <w:tcPr>
                  <w:tcW w:w="1703" w:type="dxa"/>
                  <w:tcBorders>
                    <w:tl2br w:val="nil"/>
                    <w:tr2bl w:val="nil"/>
                  </w:tcBorders>
                  <w:tcMar>
                    <w:top w:w="15" w:type="dxa"/>
                    <w:left w:w="15" w:type="dxa"/>
                    <w:right w:w="15" w:type="dxa"/>
                  </w:tcMar>
                  <w:vAlign w:val="center"/>
                </w:tcPr>
                <w:p>
                  <w:pPr>
                    <w:pStyle w:val="80"/>
                    <w:rPr>
                      <w:color w:val="000000"/>
                    </w:rPr>
                  </w:pPr>
                  <w:r>
                    <w:rPr>
                      <w:rFonts w:hint="eastAsia"/>
                      <w:color w:val="000000"/>
                    </w:rPr>
                    <w:t>14.08</w:t>
                  </w:r>
                </w:p>
              </w:tc>
              <w:tc>
                <w:tcPr>
                  <w:tcW w:w="1669" w:type="dxa"/>
                  <w:tcBorders>
                    <w:tl2br w:val="nil"/>
                    <w:tr2bl w:val="nil"/>
                  </w:tcBorders>
                  <w:tcMar>
                    <w:top w:w="15" w:type="dxa"/>
                    <w:left w:w="15" w:type="dxa"/>
                    <w:right w:w="15" w:type="dxa"/>
                  </w:tcMar>
                  <w:vAlign w:val="center"/>
                </w:tcPr>
                <w:p>
                  <w:pPr>
                    <w:pStyle w:val="80"/>
                    <w:rPr>
                      <w:color w:val="000000"/>
                    </w:rPr>
                  </w:pPr>
                  <w:r>
                    <w:rPr>
                      <w:rFonts w:hint="eastAsia"/>
                      <w:color w:val="000000"/>
                    </w:rPr>
                    <w:t>1.408</w:t>
                  </w:r>
                </w:p>
              </w:tc>
              <w:tc>
                <w:tcPr>
                  <w:tcW w:w="1638" w:type="dxa"/>
                  <w:tcBorders>
                    <w:tl2br w:val="nil"/>
                    <w:tr2bl w:val="nil"/>
                  </w:tcBorders>
                  <w:tcMar>
                    <w:top w:w="15" w:type="dxa"/>
                    <w:left w:w="15" w:type="dxa"/>
                    <w:right w:w="15" w:type="dxa"/>
                  </w:tcMar>
                  <w:vAlign w:val="center"/>
                </w:tcPr>
                <w:p>
                  <w:pPr>
                    <w:pStyle w:val="80"/>
                    <w:rPr>
                      <w:color w:val="000000"/>
                    </w:rPr>
                  </w:pPr>
                  <w:r>
                    <w:rPr>
                      <w:rFonts w:hint="eastAsia"/>
                      <w:color w:val="000000"/>
                    </w:rPr>
                    <w:t>12.67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continue"/>
                  <w:tcBorders>
                    <w:tl2br w:val="nil"/>
                    <w:tr2bl w:val="nil"/>
                  </w:tcBorders>
                  <w:tcMar>
                    <w:top w:w="15" w:type="dxa"/>
                    <w:left w:w="15" w:type="dxa"/>
                    <w:right w:w="15" w:type="dxa"/>
                  </w:tcMar>
                  <w:vAlign w:val="center"/>
                </w:tcPr>
                <w:p>
                  <w:pPr>
                    <w:pStyle w:val="80"/>
                    <w:rPr>
                      <w:color w:val="000000"/>
                    </w:rPr>
                  </w:pPr>
                </w:p>
              </w:tc>
              <w:tc>
                <w:tcPr>
                  <w:tcW w:w="2440" w:type="dxa"/>
                  <w:tcBorders>
                    <w:tl2br w:val="nil"/>
                    <w:tr2bl w:val="nil"/>
                  </w:tcBorders>
                  <w:tcMar>
                    <w:top w:w="15" w:type="dxa"/>
                    <w:left w:w="15" w:type="dxa"/>
                    <w:right w:w="15" w:type="dxa"/>
                  </w:tcMar>
                  <w:vAlign w:val="center"/>
                </w:tcPr>
                <w:p>
                  <w:pPr>
                    <w:pStyle w:val="80"/>
                    <w:rPr>
                      <w:color w:val="000000"/>
                    </w:rPr>
                  </w:pPr>
                  <w:r>
                    <w:rPr>
                      <w:rFonts w:hint="eastAsia"/>
                      <w:color w:val="000000"/>
                    </w:rPr>
                    <w:t>食堂</w:t>
                  </w:r>
                </w:p>
              </w:tc>
              <w:tc>
                <w:tcPr>
                  <w:tcW w:w="1703" w:type="dxa"/>
                  <w:tcBorders>
                    <w:tl2br w:val="nil"/>
                    <w:tr2bl w:val="nil"/>
                  </w:tcBorders>
                  <w:tcMar>
                    <w:top w:w="15" w:type="dxa"/>
                    <w:left w:w="15" w:type="dxa"/>
                    <w:right w:w="15" w:type="dxa"/>
                  </w:tcMar>
                  <w:vAlign w:val="center"/>
                </w:tcPr>
                <w:p>
                  <w:pPr>
                    <w:pStyle w:val="80"/>
                    <w:rPr>
                      <w:color w:val="000000"/>
                    </w:rPr>
                  </w:pPr>
                  <w:r>
                    <w:rPr>
                      <w:bCs/>
                      <w:snapToGrid w:val="0"/>
                      <w:color w:val="000000"/>
                      <w:kern w:val="0"/>
                    </w:rPr>
                    <w:t>17.25</w:t>
                  </w:r>
                </w:p>
              </w:tc>
              <w:tc>
                <w:tcPr>
                  <w:tcW w:w="1669" w:type="dxa"/>
                  <w:tcBorders>
                    <w:tl2br w:val="nil"/>
                    <w:tr2bl w:val="nil"/>
                  </w:tcBorders>
                  <w:tcMar>
                    <w:top w:w="15" w:type="dxa"/>
                    <w:left w:w="15" w:type="dxa"/>
                    <w:right w:w="15" w:type="dxa"/>
                  </w:tcMar>
                  <w:vAlign w:val="center"/>
                </w:tcPr>
                <w:p>
                  <w:pPr>
                    <w:pStyle w:val="80"/>
                    <w:rPr>
                      <w:color w:val="000000"/>
                    </w:rPr>
                  </w:pPr>
                  <w:r>
                    <w:rPr>
                      <w:color w:val="000000"/>
                    </w:rPr>
                    <w:t>1.72</w:t>
                  </w:r>
                </w:p>
              </w:tc>
              <w:tc>
                <w:tcPr>
                  <w:tcW w:w="1638" w:type="dxa"/>
                  <w:tcBorders>
                    <w:tl2br w:val="nil"/>
                    <w:tr2bl w:val="nil"/>
                  </w:tcBorders>
                  <w:tcMar>
                    <w:top w:w="15" w:type="dxa"/>
                    <w:left w:w="15" w:type="dxa"/>
                    <w:right w:w="15" w:type="dxa"/>
                  </w:tcMar>
                  <w:vAlign w:val="center"/>
                </w:tcPr>
                <w:p>
                  <w:pPr>
                    <w:pStyle w:val="80"/>
                    <w:rPr>
                      <w:color w:val="000000"/>
                    </w:rPr>
                  </w:pPr>
                  <w:r>
                    <w:rPr>
                      <w:bCs/>
                      <w:snapToGrid w:val="0"/>
                      <w:color w:val="000000"/>
                      <w:kern w:val="0"/>
                    </w:rPr>
                    <w:t>15.53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83" w:type="dxa"/>
                  <w:vMerge w:val="continue"/>
                  <w:tcBorders>
                    <w:tl2br w:val="nil"/>
                    <w:tr2bl w:val="nil"/>
                  </w:tcBorders>
                  <w:tcMar>
                    <w:top w:w="15" w:type="dxa"/>
                    <w:left w:w="15" w:type="dxa"/>
                    <w:right w:w="15" w:type="dxa"/>
                  </w:tcMar>
                  <w:vAlign w:val="center"/>
                </w:tcPr>
                <w:p>
                  <w:pPr>
                    <w:pStyle w:val="80"/>
                    <w:rPr>
                      <w:color w:val="000000"/>
                    </w:rPr>
                  </w:pPr>
                </w:p>
              </w:tc>
              <w:tc>
                <w:tcPr>
                  <w:tcW w:w="2440" w:type="dxa"/>
                  <w:tcBorders>
                    <w:tl2br w:val="nil"/>
                    <w:tr2bl w:val="nil"/>
                  </w:tcBorders>
                  <w:tcMar>
                    <w:top w:w="15" w:type="dxa"/>
                    <w:left w:w="15" w:type="dxa"/>
                    <w:right w:w="15" w:type="dxa"/>
                  </w:tcMar>
                  <w:vAlign w:val="center"/>
                </w:tcPr>
                <w:p>
                  <w:pPr>
                    <w:pStyle w:val="80"/>
                    <w:rPr>
                      <w:color w:val="000000"/>
                      <w:szCs w:val="24"/>
                    </w:rPr>
                  </w:pPr>
                  <w:r>
                    <w:rPr>
                      <w:rFonts w:hint="eastAsia"/>
                      <w:color w:val="000000"/>
                    </w:rPr>
                    <w:t>合计</w:t>
                  </w:r>
                </w:p>
              </w:tc>
              <w:tc>
                <w:tcPr>
                  <w:tcW w:w="1703" w:type="dxa"/>
                  <w:tcBorders>
                    <w:tl2br w:val="nil"/>
                    <w:tr2bl w:val="nil"/>
                  </w:tcBorders>
                  <w:tcMar>
                    <w:top w:w="15" w:type="dxa"/>
                    <w:left w:w="15" w:type="dxa"/>
                    <w:right w:w="15" w:type="dxa"/>
                  </w:tcMar>
                  <w:vAlign w:val="center"/>
                </w:tcPr>
                <w:p>
                  <w:pPr>
                    <w:pStyle w:val="80"/>
                    <w:rPr>
                      <w:color w:val="000000"/>
                    </w:rPr>
                  </w:pPr>
                  <w:r>
                    <w:rPr>
                      <w:rFonts w:eastAsia="等线"/>
                      <w:color w:val="000000"/>
                    </w:rPr>
                    <w:t>66.28</w:t>
                  </w:r>
                </w:p>
              </w:tc>
              <w:tc>
                <w:tcPr>
                  <w:tcW w:w="1669" w:type="dxa"/>
                  <w:tcBorders>
                    <w:tl2br w:val="nil"/>
                    <w:tr2bl w:val="nil"/>
                  </w:tcBorders>
                  <w:tcMar>
                    <w:top w:w="15" w:type="dxa"/>
                    <w:left w:w="15" w:type="dxa"/>
                    <w:right w:w="15" w:type="dxa"/>
                  </w:tcMar>
                  <w:vAlign w:val="center"/>
                </w:tcPr>
                <w:p>
                  <w:pPr>
                    <w:pStyle w:val="80"/>
                    <w:rPr>
                      <w:color w:val="000000"/>
                    </w:rPr>
                  </w:pPr>
                  <w:r>
                    <w:rPr>
                      <w:rFonts w:eastAsia="等线"/>
                      <w:color w:val="000000"/>
                    </w:rPr>
                    <w:t>6.62</w:t>
                  </w:r>
                </w:p>
              </w:tc>
              <w:tc>
                <w:tcPr>
                  <w:tcW w:w="1638" w:type="dxa"/>
                  <w:tcBorders>
                    <w:tl2br w:val="nil"/>
                    <w:tr2bl w:val="nil"/>
                  </w:tcBorders>
                  <w:tcMar>
                    <w:top w:w="15" w:type="dxa"/>
                    <w:left w:w="15" w:type="dxa"/>
                    <w:right w:w="15" w:type="dxa"/>
                  </w:tcMar>
                  <w:vAlign w:val="center"/>
                </w:tcPr>
                <w:p>
                  <w:pPr>
                    <w:pStyle w:val="80"/>
                    <w:rPr>
                      <w:color w:val="000000"/>
                    </w:rPr>
                  </w:pPr>
                  <w:r>
                    <w:rPr>
                      <w:rFonts w:eastAsia="等线"/>
                      <w:color w:val="000000"/>
                    </w:rPr>
                    <w:t>59.66</w:t>
                  </w:r>
                </w:p>
              </w:tc>
            </w:tr>
          </w:tbl>
          <w:p>
            <w:pPr>
              <w:spacing w:line="360" w:lineRule="auto"/>
              <w:rPr>
                <w:b/>
                <w:color w:val="000000"/>
                <w:sz w:val="24"/>
              </w:rPr>
            </w:pPr>
          </w:p>
          <w:p>
            <w:pPr>
              <w:spacing w:line="360" w:lineRule="auto"/>
              <w:rPr>
                <w:b/>
                <w:color w:val="000000"/>
                <w:sz w:val="24"/>
              </w:rPr>
            </w:pPr>
            <w:r>
              <w:t xml:space="preserve"> </w:t>
            </w:r>
            <w:r>
              <w:object>
                <v:shape id="_x0000_i1025" o:spt="75" type="#_x0000_t75" style="height:167.35pt;width:410.65pt;" o:ole="t" filled="f" o:preferrelative="t" stroked="f" coordsize="21600,21600">
                  <v:path/>
                  <v:fill on="f" focussize="0,0"/>
                  <v:stroke on="f" joinstyle="miter"/>
                  <v:imagedata r:id="rId10" o:title=""/>
                  <o:lock v:ext="edit" aspectratio="t"/>
                  <w10:wrap type="none"/>
                  <w10:anchorlock/>
                </v:shape>
                <o:OLEObject Type="Embed" ProgID="Visio.Drawing.15" ShapeID="_x0000_i1025" DrawAspect="Content" ObjectID="_1468075725" r:id="rId9">
                  <o:LockedField>false</o:LockedField>
                </o:OLEObject>
              </w:object>
            </w:r>
          </w:p>
          <w:p>
            <w:pPr>
              <w:pStyle w:val="83"/>
              <w:rPr>
                <w:color w:val="000000"/>
                <w:sz w:val="24"/>
                <w:szCs w:val="24"/>
              </w:rPr>
            </w:pPr>
            <w:r>
              <w:rPr>
                <w:rFonts w:hint="eastAsia"/>
                <w:color w:val="000000"/>
                <w:sz w:val="24"/>
                <w:szCs w:val="24"/>
              </w:rPr>
              <w:t>图2-1 扩建项目</w:t>
            </w:r>
            <w:r>
              <w:rPr>
                <w:color w:val="000000"/>
                <w:sz w:val="24"/>
                <w:szCs w:val="24"/>
              </w:rPr>
              <w:t>营运期水平衡</w:t>
            </w:r>
            <w:r>
              <w:rPr>
                <w:rFonts w:hint="eastAsia"/>
                <w:color w:val="000000"/>
                <w:sz w:val="24"/>
                <w:szCs w:val="24"/>
              </w:rPr>
              <w:t>图（单位：m</w:t>
            </w:r>
            <w:r>
              <w:rPr>
                <w:rFonts w:hint="eastAsia"/>
                <w:color w:val="000000"/>
                <w:sz w:val="24"/>
                <w:szCs w:val="24"/>
                <w:vertAlign w:val="superscript"/>
              </w:rPr>
              <w:t>3</w:t>
            </w:r>
            <w:r>
              <w:rPr>
                <w:rFonts w:hint="eastAsia"/>
                <w:color w:val="000000"/>
                <w:sz w:val="24"/>
                <w:szCs w:val="24"/>
              </w:rPr>
              <w:t>/d）</w:t>
            </w:r>
          </w:p>
          <w:p>
            <w:pPr>
              <w:pStyle w:val="83"/>
              <w:numPr>
                <w:ilvl w:val="0"/>
                <w:numId w:val="3"/>
              </w:numPr>
              <w:jc w:val="both"/>
              <w:rPr>
                <w:spacing w:val="-3"/>
                <w:sz w:val="24"/>
              </w:rPr>
            </w:pPr>
            <w:r>
              <w:rPr>
                <w:spacing w:val="-3"/>
                <w:sz w:val="24"/>
              </w:rPr>
              <w:t>周边环境：</w:t>
            </w:r>
          </w:p>
          <w:p>
            <w:pPr>
              <w:pStyle w:val="79"/>
              <w:spacing w:line="360" w:lineRule="auto"/>
              <w:ind w:firstLine="468" w:firstLineChars="200"/>
              <w:rPr>
                <w:color w:val="000000"/>
              </w:rPr>
            </w:pPr>
            <w:r>
              <w:rPr>
                <w:rFonts w:hint="eastAsia"/>
                <w:bCs/>
                <w:color w:val="000000"/>
                <w:spacing w:val="-3"/>
                <w:sz w:val="24"/>
                <w:szCs w:val="24"/>
              </w:rPr>
              <w:t>扩建项目</w:t>
            </w:r>
            <w:r>
              <w:rPr>
                <w:rFonts w:hint="eastAsia"/>
                <w:bCs/>
                <w:color w:val="000000"/>
                <w:spacing w:val="-3"/>
                <w:sz w:val="24"/>
                <w:szCs w:val="24"/>
              </w:rPr>
              <w:t>占地为空地，现状作为政府电网施工队</w:t>
            </w:r>
            <w:r>
              <w:rPr>
                <w:rStyle w:val="29"/>
                <w:rFonts w:hint="eastAsia" w:ascii="Arial" w:hAnsi="Arial" w:cs="Arial"/>
                <w:i w:val="0"/>
                <w:color w:val="000000"/>
                <w:sz w:val="24"/>
                <w:szCs w:val="24"/>
                <w:shd w:val="clear" w:color="auto" w:fill="FFFFFF"/>
              </w:rPr>
              <w:t>搭建</w:t>
            </w:r>
            <w:r>
              <w:rPr>
                <w:rFonts w:hint="eastAsia" w:ascii="Arial" w:hAnsi="Arial" w:cs="Arial"/>
                <w:color w:val="000000"/>
                <w:sz w:val="24"/>
                <w:szCs w:val="24"/>
                <w:shd w:val="clear" w:color="auto" w:fill="FFFFFF"/>
              </w:rPr>
              <w:t>活动板房临时使用</w:t>
            </w:r>
            <w:r>
              <w:rPr>
                <w:rFonts w:hint="eastAsia"/>
                <w:bCs/>
                <w:color w:val="000000"/>
                <w:spacing w:val="-3"/>
                <w:sz w:val="24"/>
                <w:szCs w:val="24"/>
              </w:rPr>
              <w:t>。项目北面为</w:t>
            </w:r>
            <w:r>
              <w:rPr>
                <w:rFonts w:hint="eastAsia"/>
                <w:bCs/>
                <w:color w:val="000000"/>
                <w:sz w:val="24"/>
                <w:szCs w:val="24"/>
              </w:rPr>
              <w:t>连州市慢性病防治院现有工程</w:t>
            </w:r>
            <w:r>
              <w:rPr>
                <w:rFonts w:hint="eastAsia"/>
                <w:bCs/>
                <w:color w:val="000000"/>
                <w:spacing w:val="-3"/>
                <w:sz w:val="24"/>
                <w:szCs w:val="24"/>
              </w:rPr>
              <w:t>，</w:t>
            </w:r>
            <w:r>
              <w:rPr>
                <w:rFonts w:hint="eastAsia"/>
                <w:color w:val="000000"/>
                <w:spacing w:val="-3"/>
                <w:sz w:val="24"/>
                <w:szCs w:val="24"/>
              </w:rPr>
              <w:t>西邻省</w:t>
            </w:r>
            <w:r>
              <w:rPr>
                <w:rFonts w:hint="eastAsia"/>
                <w:color w:val="000000"/>
                <w:spacing w:val="-32"/>
                <w:sz w:val="24"/>
                <w:szCs w:val="24"/>
              </w:rPr>
              <w:t>道</w:t>
            </w:r>
            <w:r>
              <w:rPr>
                <w:color w:val="000000"/>
                <w:spacing w:val="-32"/>
                <w:sz w:val="24"/>
                <w:szCs w:val="24"/>
              </w:rPr>
              <w:t xml:space="preserve"> </w:t>
            </w:r>
            <w:r>
              <w:rPr>
                <w:rFonts w:eastAsia="Times New Roman"/>
                <w:color w:val="000000"/>
                <w:spacing w:val="-3"/>
                <w:sz w:val="24"/>
                <w:szCs w:val="24"/>
              </w:rPr>
              <w:t>S114</w:t>
            </w:r>
            <w:r>
              <w:rPr>
                <w:rFonts w:eastAsia="Times New Roman"/>
                <w:color w:val="000000"/>
                <w:sz w:val="24"/>
                <w:szCs w:val="24"/>
              </w:rPr>
              <w:t xml:space="preserve"> </w:t>
            </w:r>
            <w:r>
              <w:rPr>
                <w:rFonts w:hint="eastAsia"/>
                <w:color w:val="000000"/>
                <w:spacing w:val="-30"/>
                <w:sz w:val="24"/>
                <w:szCs w:val="24"/>
              </w:rPr>
              <w:t>线</w:t>
            </w:r>
            <w:r>
              <w:rPr>
                <w:rFonts w:hint="eastAsia"/>
                <w:color w:val="000000"/>
                <w:sz w:val="24"/>
                <w:szCs w:val="24"/>
              </w:rPr>
              <w:t>，东面和南面为荒地。</w:t>
            </w:r>
            <w:r>
              <w:rPr>
                <w:rFonts w:hint="eastAsia"/>
                <w:color w:val="000000"/>
                <w:sz w:val="24"/>
                <w:szCs w:val="24"/>
              </w:rPr>
              <w:t>扩建项目</w:t>
            </w:r>
            <w:r>
              <w:rPr>
                <w:rFonts w:hint="eastAsia"/>
                <w:color w:val="000000"/>
                <w:sz w:val="24"/>
                <w:szCs w:val="24"/>
              </w:rPr>
              <w:t>平面分布图见附图二，</w:t>
            </w:r>
            <w:r>
              <w:rPr>
                <w:rFonts w:hint="eastAsia"/>
                <w:color w:val="000000"/>
                <w:spacing w:val="-11"/>
                <w:sz w:val="24"/>
                <w:szCs w:val="24"/>
              </w:rPr>
              <w:t>扩建项目</w:t>
            </w:r>
            <w:r>
              <w:rPr>
                <w:rFonts w:hint="eastAsia"/>
                <w:color w:val="000000"/>
                <w:spacing w:val="-11"/>
                <w:sz w:val="24"/>
                <w:szCs w:val="24"/>
              </w:rPr>
              <w:t>周边四至图见附图三，</w:t>
            </w:r>
            <w:r>
              <w:rPr>
                <w:rFonts w:hint="eastAsia"/>
                <w:color w:val="000000"/>
                <w:sz w:val="24"/>
                <w:szCs w:val="24"/>
              </w:rPr>
              <w:t>扩建项目</w:t>
            </w:r>
            <w:r>
              <w:rPr>
                <w:rFonts w:hint="eastAsia"/>
                <w:color w:val="000000"/>
                <w:sz w:val="24"/>
                <w:szCs w:val="24"/>
              </w:rPr>
              <w:t>场址环境现状图</w:t>
            </w:r>
            <w:r>
              <w:rPr>
                <w:rFonts w:hint="eastAsia"/>
                <w:color w:val="000000"/>
                <w:spacing w:val="-11"/>
                <w:sz w:val="24"/>
                <w:szCs w:val="24"/>
              </w:rPr>
              <w:t>见附图四</w:t>
            </w:r>
            <w:r>
              <w:rPr>
                <w:rFonts w:hint="eastAsia"/>
                <w:color w:val="000000"/>
                <w:spacing w:val="-11"/>
                <w:sz w:val="24"/>
                <w:szCs w:val="24"/>
              </w:rPr>
              <w:t>。</w:t>
            </w:r>
            <w:r>
              <w:rPr>
                <w:color w:val="000000"/>
                <w:sz w:val="24"/>
                <w:szCs w:val="24"/>
              </w:rPr>
              <w:t xml:space="preserve">     </w:t>
            </w:r>
            <w:r>
              <w:rPr>
                <w:color w:val="000000"/>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20" w:type="pct"/>
            <w:vAlign w:val="center"/>
          </w:tcPr>
          <w:p>
            <w:pPr>
              <w:pStyle w:val="25"/>
              <w:adjustRightInd w:val="0"/>
              <w:snapToGrid w:val="0"/>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工艺流程和产排污环节</w:t>
            </w:r>
          </w:p>
        </w:tc>
        <w:tc>
          <w:tcPr>
            <w:tcW w:w="4779" w:type="pct"/>
          </w:tcPr>
          <w:p>
            <w:pPr>
              <w:pStyle w:val="79"/>
              <w:ind w:firstLine="482"/>
              <w:rPr>
                <w:sz w:val="24"/>
                <w:szCs w:val="24"/>
              </w:rPr>
            </w:pPr>
            <w:r>
              <w:rPr>
                <w:b/>
                <w:bCs/>
                <w:sz w:val="24"/>
                <w:szCs w:val="24"/>
              </w:rPr>
              <w:t>施工期：</w:t>
            </w:r>
            <w:r>
              <w:rPr>
                <w:color w:val="000000"/>
                <w:sz w:val="24"/>
                <w:szCs w:val="24"/>
              </w:rPr>
              <w:t>主要包括工程用地范围内的场地平整、修筑施工便道、土方开挖、地下室工程、土建施工、设备安装、建筑材料运输等活动，对环境产生影响的因素主要有：施工噪声、扬尘、建筑垃圾、施工人员的生活污水和生活垃圾等。</w:t>
            </w:r>
            <w:r>
              <w:rPr>
                <w:sz w:val="24"/>
                <w:szCs w:val="24"/>
              </w:rPr>
              <w:t>工艺流程及产污位置框图见图2-2</w:t>
            </w:r>
          </w:p>
          <w:p>
            <w:pPr>
              <w:pStyle w:val="18"/>
              <w:spacing w:before="185" w:line="364" w:lineRule="auto"/>
              <w:ind w:right="737"/>
              <w:rPr>
                <w:sz w:val="30"/>
                <w:szCs w:val="30"/>
              </w:rPr>
            </w:pPr>
            <w:r>
              <w:rPr>
                <w:sz w:val="20"/>
              </w:rPr>
              <w:drawing>
                <wp:inline distT="0" distB="0" distL="0" distR="0">
                  <wp:extent cx="5302250" cy="1403350"/>
                  <wp:effectExtent l="0" t="0" r="0" b="6350"/>
                  <wp:docPr id="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302250" cy="1403350"/>
                          </a:xfrm>
                          <a:prstGeom prst="rect">
                            <a:avLst/>
                          </a:prstGeom>
                          <a:noFill/>
                          <a:ln>
                            <a:noFill/>
                          </a:ln>
                          <a:effectLst/>
                        </pic:spPr>
                      </pic:pic>
                    </a:graphicData>
                  </a:graphic>
                </wp:inline>
              </w:drawing>
            </w:r>
          </w:p>
          <w:p>
            <w:pPr>
              <w:pStyle w:val="2"/>
              <w:spacing w:line="360" w:lineRule="auto"/>
              <w:jc w:val="center"/>
              <w:rPr>
                <w:rFonts w:ascii="Times New Roman" w:cs="Times New Roman"/>
                <w:b/>
              </w:rPr>
            </w:pPr>
            <w:r>
              <w:rPr>
                <w:rFonts w:hint="eastAsia" w:ascii="Times New Roman" w:cs="Times New Roman"/>
                <w:b/>
              </w:rPr>
              <w:t>图</w:t>
            </w:r>
            <w:r>
              <w:rPr>
                <w:rFonts w:ascii="Times New Roman" w:cs="Times New Roman"/>
                <w:b/>
              </w:rPr>
              <w:t>2-</w:t>
            </w:r>
            <w:r>
              <w:rPr>
                <w:rFonts w:hint="eastAsia" w:ascii="Times New Roman" w:cs="Times New Roman"/>
                <w:b/>
              </w:rPr>
              <w:t>2</w:t>
            </w:r>
            <w:r>
              <w:rPr>
                <w:rFonts w:ascii="Times New Roman" w:cs="Times New Roman"/>
                <w:b/>
              </w:rPr>
              <w:t xml:space="preserve"> </w:t>
            </w:r>
            <w:r>
              <w:rPr>
                <w:rFonts w:hint="eastAsia" w:ascii="Times New Roman" w:cs="Times New Roman"/>
                <w:b/>
              </w:rPr>
              <w:t>扩建项目施工期</w:t>
            </w:r>
            <w:r>
              <w:rPr>
                <w:rFonts w:ascii="Times New Roman" w:cs="Times New Roman"/>
                <w:b/>
              </w:rPr>
              <w:t>工艺流程图</w:t>
            </w:r>
          </w:p>
          <w:p>
            <w:pPr>
              <w:pStyle w:val="2"/>
              <w:spacing w:line="360" w:lineRule="auto"/>
              <w:ind w:firstLine="480" w:firstLineChars="200"/>
              <w:rPr>
                <w:rFonts w:ascii="Times New Roman" w:cs="Times New Roman"/>
              </w:rPr>
            </w:pPr>
            <w:r>
              <w:rPr>
                <w:rFonts w:ascii="Times New Roman" w:cs="Times New Roman"/>
              </w:rPr>
              <w:t>土方工程:该扩建项目土方工程主要有场地平整、基坑开挖、地坪填土、路基填筑和基坑回填，在土（或石）的挖掘、填筑和运输等主要施工过程，以及排水、降水、土壁支撑等准备和辅助工程中，会产生一定量的废水、废气、噪音、固废，主要施工设备有推土机、挖土机、铲运机以及运输车辆。</w:t>
            </w:r>
          </w:p>
          <w:p>
            <w:pPr>
              <w:pStyle w:val="79"/>
              <w:ind w:firstLine="480"/>
              <w:rPr>
                <w:color w:val="000000"/>
                <w:sz w:val="24"/>
                <w:szCs w:val="24"/>
              </w:rPr>
            </w:pPr>
            <w:r>
              <w:rPr>
                <w:color w:val="000000"/>
                <w:sz w:val="24"/>
                <w:szCs w:val="24"/>
              </w:rPr>
              <w:t>桩基工程：定制好的桩运输至施工现场堆放，根据设计图纸桩基平面设置打桩标尺，静力压桩后拔桩，人工凿去桩头以及承台浇灌。伴随机械维修、打桩机装置、柴油机动力装置会产生一定量废水、噪声、固废。主要施工设备：液压压桩机、吊装设备、平台车（桩运输设备）等。</w:t>
            </w:r>
          </w:p>
          <w:p>
            <w:pPr>
              <w:pStyle w:val="79"/>
              <w:ind w:firstLine="480"/>
              <w:rPr>
                <w:color w:val="000000"/>
                <w:sz w:val="24"/>
                <w:szCs w:val="24"/>
              </w:rPr>
            </w:pPr>
            <w:r>
              <w:rPr>
                <w:color w:val="000000"/>
                <w:sz w:val="24"/>
                <w:szCs w:val="24"/>
              </w:rPr>
              <w:t>钢筋混凝土结构工程：钢筋混凝土结构工程包括模板工程、钢筋工程和混凝土工程三部分，模板工程指根据工程结构和构件各部分形状、尺寸和相互间位置的准确性，考虑构筑物不同位置质量的要求，根据模板的材质，选用木模板、钢模板、塑料模板等。钢筋工程指钢筋通过调直、冷拉、冷拨、焊接（闪光对焊、电弧焊、点焊等）、除锈（电动除锈机、钢丝刷、砂盘等除锈）、下料、切断、弯曲后，根据施工图纸钢筋绑扎，钢筋网、骨架安装。混凝土工程指商家将工地所需的混凝土通过混凝土搅拌运输车运至现场。混凝土运至现场后，卸入移动式浇注车（低层）、固定式浇注平台（高层）等，将混凝土浇入模框，由人工钢钎、振动棒等捣实混凝土，由人工外加添加剂、喷水等防护措施提高混凝土的强度，带混凝土凝固后，拆除模板。其中混凝土浆水、各种焊机、除锈机、切割机等设备、焊接烟尘、除锈打磨、下料、焊接、打磨等会产生一定量的废水、废气、固废和噪音。主要施工设备：闪光对焊机、电弧焊机、电焊机、冷拉机、冷拨机、电动除锈机、钢筋切断机、手动切断器、成型工作台、卡盘、扳手、钢筋钩、混凝土搅拌运输车、移动式浇注车、垂直升降机、移动浇注机、固定浇注平台等。</w:t>
            </w:r>
          </w:p>
          <w:p>
            <w:pPr>
              <w:pStyle w:val="79"/>
              <w:ind w:firstLine="480"/>
              <w:rPr>
                <w:color w:val="000000"/>
                <w:sz w:val="24"/>
                <w:szCs w:val="24"/>
              </w:rPr>
            </w:pPr>
            <w:r>
              <w:rPr>
                <w:color w:val="000000"/>
                <w:sz w:val="24"/>
                <w:szCs w:val="24"/>
              </w:rPr>
              <w:t>结构安装工程：用各种起重机械将预制的结构构件安装到设计位置的施工过程。现场施工一般使用吊装机械进行装配。运输车辆、钢筋钢板装卸、起重动力装置、浇注机会产生一定量的噪音和废气。主要施工设备：钢丝绳、滑轮组、卷扬机、吊具、式起重机、汽车式起重机等。</w:t>
            </w:r>
          </w:p>
          <w:p>
            <w:pPr>
              <w:pStyle w:val="79"/>
              <w:ind w:firstLine="480"/>
              <w:rPr>
                <w:b/>
              </w:rPr>
            </w:pPr>
            <w:r>
              <w:rPr>
                <w:color w:val="000000"/>
                <w:sz w:val="24"/>
                <w:szCs w:val="24"/>
              </w:rPr>
              <w:t>砌体、防水、装饰工程：砌体工程主要以手工操作为主，施工过程包括砂浆制备、材料运输、搭设脚手架和砌体砌筑等。防水工程部位主要为屋面防水、地下防水、外墙面防水盒卫生间楼地面防水等。产常用的防水材料包括防水卷材、防水涂料、建筑密封材料和防水剂等。装饰工程包括抹灰、饰面安装施工、涂料工程：抹灰包括装饰抹灰、一般抹灰等。装饰抹灰的方式包括喷涂、辊涂、刷涂等工艺。饰面安装施工包括天然石饰面板材、金属饰面板、木质饰面板、玻璃饰面板等。地面清洗、砂浆、空压机（喷涂用）、物料、弃渣临时堆放、金属丝、废弃钢筋混凝土、砖石和装饰工程会产生一定量的废气、废水、噪音</w:t>
            </w:r>
            <w:r>
              <w:rPr>
                <w:rFonts w:hint="eastAsia"/>
                <w:color w:val="000000"/>
                <w:sz w:val="24"/>
                <w:szCs w:val="24"/>
              </w:rPr>
              <w:t>和</w:t>
            </w:r>
            <w:r>
              <w:rPr>
                <w:color w:val="000000"/>
                <w:sz w:val="24"/>
                <w:szCs w:val="24"/>
              </w:rPr>
              <w:t>固废。</w:t>
            </w:r>
          </w:p>
          <w:p>
            <w:pPr>
              <w:pStyle w:val="2"/>
              <w:spacing w:line="360" w:lineRule="auto"/>
              <w:ind w:firstLine="482" w:firstLineChars="200"/>
              <w:rPr>
                <w:rFonts w:ascii="Times New Roman" w:cs="Times New Roman"/>
                <w:bCs/>
                <w:color w:val="auto"/>
              </w:rPr>
            </w:pPr>
            <w:r>
              <w:rPr>
                <w:rFonts w:ascii="Times New Roman" w:cs="Times New Roman"/>
                <w:b/>
                <w:color w:val="auto"/>
              </w:rPr>
              <w:t>营运期</w:t>
            </w:r>
            <w:r>
              <w:rPr>
                <w:rFonts w:ascii="Times New Roman" w:cs="Times New Roman"/>
                <w:bCs/>
                <w:color w:val="auto"/>
              </w:rPr>
              <w:t>：</w:t>
            </w:r>
          </w:p>
          <w:p>
            <w:pPr>
              <w:pStyle w:val="4"/>
              <w:spacing w:line="360" w:lineRule="auto"/>
              <w:ind w:left="0" w:firstLine="480" w:firstLineChars="200"/>
              <w:rPr>
                <w:szCs w:val="24"/>
              </w:rPr>
            </w:pPr>
            <w:r>
              <w:rPr>
                <w:bCs/>
                <w:color w:val="000000"/>
                <w:szCs w:val="24"/>
              </w:rPr>
              <w:t>分析该扩建项目运营期</w:t>
            </w:r>
            <w:r>
              <w:rPr>
                <w:spacing w:val="-10"/>
                <w:szCs w:val="24"/>
              </w:rPr>
              <w:t>医院各部门的功能、设施和人员组成等情况</w:t>
            </w:r>
            <w:r>
              <w:rPr>
                <w:spacing w:val="-13"/>
                <w:szCs w:val="24"/>
              </w:rPr>
              <w:t>。医院排放污水</w:t>
            </w:r>
            <w:r>
              <w:rPr>
                <w:spacing w:val="-16"/>
                <w:szCs w:val="24"/>
              </w:rPr>
              <w:t>的主要部门和设施有：门诊、饭堂、病房、洗衣房等排水；医院行政管理和医务人员排放的生活污水。</w:t>
            </w:r>
            <w:r>
              <w:rPr>
                <w:spacing w:val="-5"/>
                <w:szCs w:val="24"/>
              </w:rPr>
              <w:t>医院产生的固体废物包括一般性固体废物（</w:t>
            </w:r>
            <w:r>
              <w:rPr>
                <w:spacing w:val="-3"/>
                <w:szCs w:val="24"/>
              </w:rPr>
              <w:t>餐余垃圾和</w:t>
            </w:r>
            <w:r>
              <w:rPr>
                <w:spacing w:val="-5"/>
                <w:szCs w:val="24"/>
              </w:rPr>
              <w:t>生活垃圾）、</w:t>
            </w:r>
            <w:r>
              <w:rPr>
                <w:spacing w:val="-3"/>
                <w:szCs w:val="24"/>
              </w:rPr>
              <w:t>医疗废物、污水处理站产生的淤泥等。</w:t>
            </w:r>
            <w:r>
              <w:rPr>
                <w:spacing w:val="-4"/>
                <w:szCs w:val="24"/>
              </w:rPr>
              <w:t>医院营运期间主要废气污染物为医疗废水处理站废气、食堂废气、垃圾恶臭、进出车辆汽车尾气等。</w:t>
            </w:r>
            <w:r>
              <w:rPr>
                <w:spacing w:val="-5"/>
                <w:szCs w:val="24"/>
              </w:rPr>
              <w:t>医院营运期间主要噪声源为污水处理站泵房噪声、设备房设备运转时产生的噪声及进出车辆产生的噪声，扩建项目运营期产污流程</w:t>
            </w:r>
            <w:r>
              <w:rPr>
                <w:szCs w:val="24"/>
              </w:rPr>
              <w:t>见图2-3</w:t>
            </w:r>
          </w:p>
          <w:p>
            <w:pPr>
              <w:pStyle w:val="18"/>
              <w:spacing w:before="185" w:line="364" w:lineRule="auto"/>
              <w:ind w:right="737"/>
              <w:jc w:val="center"/>
              <w:rPr>
                <w:sz w:val="20"/>
              </w:rPr>
            </w:pPr>
            <w:r>
              <w:t xml:space="preserve"> </w:t>
            </w:r>
            <w:r>
              <w:drawing>
                <wp:inline distT="0" distB="0" distL="0" distR="0">
                  <wp:extent cx="4384675" cy="3639820"/>
                  <wp:effectExtent l="0" t="0" r="0" b="0"/>
                  <wp:docPr id="3" name="图片 3" descr="C:\Users\lenovo\AppData\Local\Temp\16255432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AppData\Local\Temp\1625543229(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387639" cy="3642261"/>
                          </a:xfrm>
                          <a:prstGeom prst="rect">
                            <a:avLst/>
                          </a:prstGeom>
                          <a:noFill/>
                          <a:ln>
                            <a:noFill/>
                          </a:ln>
                        </pic:spPr>
                      </pic:pic>
                    </a:graphicData>
                  </a:graphic>
                </wp:inline>
              </w:drawing>
            </w:r>
          </w:p>
          <w:p>
            <w:pPr>
              <w:pStyle w:val="2"/>
              <w:spacing w:line="360" w:lineRule="auto"/>
              <w:jc w:val="center"/>
              <w:rPr>
                <w:rFonts w:ascii="Times New Roman" w:cs="Times New Roman"/>
                <w:b/>
              </w:rPr>
            </w:pPr>
            <w:r>
              <w:rPr>
                <w:rFonts w:ascii="Times New Roman" w:cs="Times New Roman"/>
                <w:b/>
              </w:rPr>
              <w:t>图2-</w:t>
            </w:r>
            <w:r>
              <w:rPr>
                <w:rFonts w:hint="eastAsia" w:ascii="Times New Roman" w:cs="Times New Roman"/>
                <w:b/>
              </w:rPr>
              <w:t>3</w:t>
            </w:r>
            <w:r>
              <w:rPr>
                <w:rFonts w:ascii="Times New Roman" w:cs="Times New Roman"/>
                <w:b/>
              </w:rPr>
              <w:t xml:space="preserve"> </w:t>
            </w:r>
            <w:r>
              <w:rPr>
                <w:rFonts w:hint="eastAsia" w:ascii="Times New Roman" w:cs="Times New Roman"/>
                <w:b/>
              </w:rPr>
              <w:t>扩建项目运营期产污</w:t>
            </w:r>
            <w:r>
              <w:rPr>
                <w:rFonts w:ascii="Times New Roman" w:cs="Times New Roman"/>
                <w:b/>
              </w:rPr>
              <w:t>流程图</w:t>
            </w:r>
          </w:p>
          <w:p>
            <w:pPr>
              <w:pStyle w:val="4"/>
              <w:spacing w:line="360" w:lineRule="auto"/>
              <w:ind w:left="0" w:firstLine="480" w:firstLineChars="200"/>
              <w:rPr>
                <w:b/>
              </w:rPr>
            </w:pPr>
            <w:r>
              <w:rPr>
                <w:bCs/>
              </w:rPr>
              <w:t>门诊：</w:t>
            </w:r>
            <w:r>
              <w:rPr>
                <w:bCs/>
                <w:color w:val="000000"/>
              </w:rPr>
              <w:t>病人来院挂号后，由护士分诊后到相应科室进就诊，由医生诊断后，病人自行缴费、取药、离院。若需要进一步检查后才能确诊的由医生开检查单，病人到检验科作进行检查，领取检查结果后回医师诊室进行进一步诊断。需要住院的病人由医生开住院单，治疗并康复后办理出院手续。需要进行手术的病人在进行相应检查后择期进行，术后康复后离院。</w:t>
            </w:r>
            <w:r>
              <w:rPr>
                <w:color w:val="000000"/>
              </w:rPr>
              <w:t>就诊人员的检查和日常活动、职工人员及就诊陪同人员的日常活动会产生一定量的医疗固废、医疗废水、生活废水和生活垃圾等。</w:t>
            </w:r>
          </w:p>
          <w:p>
            <w:pPr>
              <w:pStyle w:val="4"/>
              <w:spacing w:line="360" w:lineRule="auto"/>
              <w:ind w:left="0" w:firstLine="480" w:firstLineChars="200"/>
              <w:rPr>
                <w:bCs/>
              </w:rPr>
            </w:pPr>
            <w:r>
              <w:rPr>
                <w:bCs/>
              </w:rPr>
              <w:t>住院病房（洗衣房）：就诊人员办理住院手续后，按住院规章制度，穿着住院衣服，在护士指引下进行日常活动，配合医生治疗方案，不得擅自离开住院部。</w:t>
            </w:r>
          </w:p>
          <w:p>
            <w:pPr>
              <w:pStyle w:val="4"/>
              <w:spacing w:line="360" w:lineRule="auto"/>
              <w:ind w:left="0" w:firstLine="0"/>
              <w:rPr>
                <w:bCs/>
              </w:rPr>
            </w:pPr>
            <w:r>
              <w:rPr>
                <w:bCs/>
              </w:rPr>
              <w:t>住院病人治疗过程和日常活动、陪护职工人员及探视人员日常活动、住院服的换洗会产生一定量的医疗固废、医疗废水、生活污水和生活垃圾。</w:t>
            </w:r>
          </w:p>
          <w:p>
            <w:pPr>
              <w:pStyle w:val="4"/>
              <w:spacing w:line="360" w:lineRule="auto"/>
              <w:ind w:left="0" w:firstLine="480" w:firstLineChars="200"/>
              <w:rPr>
                <w:bCs/>
              </w:rPr>
            </w:pPr>
            <w:r>
              <w:rPr>
                <w:bCs/>
              </w:rPr>
              <w:t>食堂：为住院患者、职工人员和探视人员就餐准备食物，该过程中会产生一定量的食堂废水、餐余垃圾、食堂油烟。</w:t>
            </w:r>
          </w:p>
          <w:p>
            <w:pPr>
              <w:pStyle w:val="4"/>
              <w:spacing w:line="276" w:lineRule="auto"/>
              <w:ind w:left="0" w:firstLine="480" w:firstLineChars="200"/>
              <w:rPr>
                <w:bCs/>
              </w:rPr>
            </w:pPr>
            <w:r>
              <w:rPr>
                <w:bCs/>
              </w:rPr>
              <w:t>污水处理站：扩建项目内产生的医疗废水和生活废水会流入自建的污水处理站处理。</w:t>
            </w:r>
          </w:p>
          <w:p>
            <w:pPr>
              <w:spacing w:line="276" w:lineRule="auto"/>
              <w:ind w:firstLine="480" w:firstLineChars="200"/>
              <w:jc w:val="left"/>
              <w:rPr>
                <w:color w:val="000000"/>
              </w:rPr>
            </w:pPr>
            <w:r>
              <w:rPr>
                <w:bCs/>
                <w:kern w:val="0"/>
                <w:sz w:val="24"/>
              </w:rPr>
              <w:t>停车场：职工人员开车日常上下班</w:t>
            </w:r>
            <w:r>
              <w:rPr>
                <w:rFonts w:hint="eastAsia"/>
                <w:bCs/>
                <w:kern w:val="0"/>
                <w:sz w:val="24"/>
              </w:rPr>
              <w:t>、</w:t>
            </w:r>
            <w:r>
              <w:rPr>
                <w:bCs/>
                <w:kern w:val="0"/>
                <w:sz w:val="24"/>
              </w:rPr>
              <w:t>探视人员和就诊病人自驾来院区，会产生少量的汽车尾气。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4" w:hRule="atLeast"/>
          <w:jc w:val="center"/>
        </w:trPr>
        <w:tc>
          <w:tcPr>
            <w:tcW w:w="220" w:type="pct"/>
            <w:tcBorders>
              <w:left w:val="single" w:color="auto" w:sz="4" w:space="0"/>
              <w:bottom w:val="single" w:color="auto" w:sz="4" w:space="0"/>
            </w:tcBorders>
          </w:tcPr>
          <w:p>
            <w:pPr>
              <w:pStyle w:val="25"/>
              <w:adjustRightInd w:val="0"/>
              <w:snapToGrid w:val="0"/>
              <w:spacing w:before="0" w:beforeAutospacing="0" w:after="0" w:afterAutospacing="0"/>
              <w:jc w:val="both"/>
              <w:rPr>
                <w:rFonts w:ascii="Times New Roman" w:hAnsi="Times New Roman"/>
                <w:bCs/>
                <w:color w:val="000000"/>
                <w:kern w:val="2"/>
                <w:sz w:val="21"/>
                <w:szCs w:val="21"/>
              </w:rPr>
            </w:pPr>
          </w:p>
          <w:p>
            <w:pPr>
              <w:pStyle w:val="25"/>
              <w:adjustRightInd w:val="0"/>
              <w:snapToGrid w:val="0"/>
              <w:spacing w:before="0" w:beforeAutospacing="0" w:after="0" w:afterAutospacing="0"/>
              <w:jc w:val="both"/>
              <w:rPr>
                <w:rFonts w:ascii="Times New Roman" w:hAnsi="Times New Roman"/>
                <w:bCs/>
                <w:color w:val="000000"/>
                <w:kern w:val="2"/>
                <w:sz w:val="21"/>
                <w:szCs w:val="21"/>
              </w:rPr>
            </w:pPr>
          </w:p>
          <w:p>
            <w:pPr>
              <w:pStyle w:val="25"/>
              <w:adjustRightInd w:val="0"/>
              <w:snapToGrid w:val="0"/>
              <w:spacing w:before="0" w:beforeAutospacing="0" w:after="0" w:afterAutospacing="0"/>
              <w:jc w:val="both"/>
              <w:rPr>
                <w:rFonts w:ascii="Times New Roman" w:hAnsi="Times New Roman"/>
                <w:color w:val="000000"/>
                <w:sz w:val="21"/>
                <w:szCs w:val="21"/>
              </w:rPr>
            </w:pPr>
            <w:r>
              <w:rPr>
                <w:rFonts w:ascii="Times New Roman" w:hAnsi="Times New Roman"/>
                <w:bCs/>
                <w:color w:val="000000"/>
                <w:kern w:val="2"/>
                <w:sz w:val="21"/>
                <w:szCs w:val="21"/>
              </w:rPr>
              <w:t>与项目有关的原有环境污染问题</w:t>
            </w:r>
          </w:p>
        </w:tc>
        <w:tc>
          <w:tcPr>
            <w:tcW w:w="4779" w:type="pct"/>
            <w:tcBorders>
              <w:bottom w:val="single" w:color="auto" w:sz="4" w:space="0"/>
              <w:right w:val="single" w:color="auto" w:sz="4" w:space="0"/>
            </w:tcBorders>
            <w:vAlign w:val="center"/>
          </w:tcPr>
          <w:p>
            <w:pPr>
              <w:numPr>
                <w:ilvl w:val="0"/>
                <w:numId w:val="4"/>
              </w:numPr>
              <w:spacing w:line="360" w:lineRule="auto"/>
              <w:rPr>
                <w:color w:val="000000"/>
                <w:sz w:val="24"/>
              </w:rPr>
            </w:pPr>
            <w:r>
              <w:rPr>
                <w:rFonts w:hint="eastAsia"/>
                <w:color w:val="000000"/>
                <w:sz w:val="24"/>
              </w:rPr>
              <w:t>现有工程环评手续履行情况</w:t>
            </w:r>
          </w:p>
          <w:p>
            <w:pPr>
              <w:pStyle w:val="2"/>
              <w:spacing w:line="360" w:lineRule="auto"/>
              <w:ind w:firstLine="480" w:firstLineChars="200"/>
              <w:rPr>
                <w:rFonts w:ascii="Times New Roman" w:cs="Times New Roman"/>
              </w:rPr>
            </w:pPr>
            <w:r>
              <w:rPr>
                <w:rFonts w:hint="eastAsia" w:ascii="Times New Roman" w:cs="Times New Roman"/>
              </w:rPr>
              <w:t>目前现有工程已经建成，</w:t>
            </w:r>
            <w:r>
              <w:rPr>
                <w:rFonts w:ascii="Times New Roman" w:cs="Times New Roman"/>
              </w:rPr>
              <w:t>建设单位</w:t>
            </w:r>
            <w:r>
              <w:rPr>
                <w:rFonts w:hint="eastAsia" w:ascii="Times New Roman" w:cs="Times New Roman"/>
              </w:rPr>
              <w:t>已办理</w:t>
            </w:r>
            <w:r>
              <w:rPr>
                <w:rFonts w:ascii="Times New Roman" w:cs="Times New Roman"/>
              </w:rPr>
              <w:t>国家排污证，排污证编号为376865441824518251001U。</w:t>
            </w:r>
            <w:r>
              <w:rPr>
                <w:rFonts w:hint="eastAsia" w:ascii="Times New Roman" w:cs="Times New Roman"/>
              </w:rPr>
              <w:t>建设单位</w:t>
            </w:r>
            <w:r>
              <w:rPr>
                <w:rFonts w:ascii="Times New Roman" w:cs="Times New Roman"/>
              </w:rPr>
              <w:t>于2020年10月</w:t>
            </w:r>
            <w:r>
              <w:rPr>
                <w:rFonts w:hint="eastAsia" w:ascii="Times New Roman" w:cs="Times New Roman"/>
              </w:rPr>
              <w:t>自主组织环保验收，</w:t>
            </w:r>
            <w:r>
              <w:rPr>
                <w:rFonts w:ascii="Times New Roman" w:cs="Times New Roman"/>
              </w:rPr>
              <w:t>完成编制《连州市慢性病防治院外迁扩建项目竣工环境保护验收监测报告》</w:t>
            </w:r>
            <w:r>
              <w:rPr>
                <w:rFonts w:hint="eastAsia" w:ascii="Times New Roman" w:cs="Times New Roman"/>
              </w:rPr>
              <w:t>，并于2020年11月25日完成“</w:t>
            </w:r>
            <w:r>
              <w:rPr>
                <w:rFonts w:ascii="Times New Roman" w:cs="Times New Roman"/>
              </w:rPr>
              <w:t>连州市慢性病防治院外迁扩建项目</w:t>
            </w:r>
            <w:r>
              <w:rPr>
                <w:rFonts w:hint="eastAsia" w:ascii="Times New Roman" w:cs="Times New Roman"/>
              </w:rPr>
              <w:t>竣工环境保护验收意见”</w:t>
            </w:r>
            <w:r>
              <w:rPr>
                <w:rFonts w:hint="eastAsia"/>
              </w:rPr>
              <w:t>公示</w:t>
            </w:r>
            <w:r>
              <w:rPr>
                <w:rFonts w:hint="eastAsia" w:ascii="Times New Roman" w:cs="Times New Roman"/>
              </w:rPr>
              <w:t>。</w:t>
            </w:r>
          </w:p>
          <w:p>
            <w:pPr>
              <w:numPr>
                <w:ilvl w:val="0"/>
                <w:numId w:val="4"/>
              </w:numPr>
              <w:spacing w:line="360" w:lineRule="auto"/>
              <w:rPr>
                <w:color w:val="000000"/>
                <w:sz w:val="24"/>
              </w:rPr>
            </w:pPr>
            <w:r>
              <w:rPr>
                <w:rFonts w:hint="eastAsia"/>
                <w:color w:val="000000"/>
                <w:sz w:val="24"/>
              </w:rPr>
              <w:t>原有工程污染物排放情况</w:t>
            </w:r>
          </w:p>
          <w:p>
            <w:pPr>
              <w:spacing w:line="360" w:lineRule="auto"/>
              <w:ind w:firstLine="480" w:firstLineChars="200"/>
              <w:rPr>
                <w:color w:val="000000"/>
                <w:sz w:val="24"/>
              </w:rPr>
            </w:pPr>
            <w:r>
              <w:rPr>
                <w:rFonts w:hint="eastAsia"/>
                <w:color w:val="000000"/>
                <w:sz w:val="24"/>
              </w:rPr>
              <w:t>根据</w:t>
            </w:r>
            <w:r>
              <w:rPr>
                <w:sz w:val="24"/>
                <w:szCs w:val="24"/>
              </w:rPr>
              <w:t>《连州市慢性病防治院外迁扩建项目竣工环境保护验收监测报告》</w:t>
            </w:r>
            <w:r>
              <w:rPr>
                <w:rFonts w:hint="eastAsia"/>
                <w:sz w:val="24"/>
                <w:szCs w:val="24"/>
              </w:rPr>
              <w:t>、</w:t>
            </w:r>
            <w:r>
              <w:rPr>
                <w:rFonts w:hint="eastAsia" w:ascii="宋体" w:hAnsi="宋体"/>
                <w:sz w:val="24"/>
                <w:szCs w:val="24"/>
              </w:rPr>
              <w:t>《连州市慢性病防治院外迁扩建项目环境影响报告书》</w:t>
            </w:r>
            <w:r>
              <w:rPr>
                <w:rFonts w:hint="eastAsia"/>
                <w:color w:val="000000"/>
                <w:sz w:val="24"/>
              </w:rPr>
              <w:t>，与该扩建项目有关的原有环境污染问题主要包括：废气、废水、固废。由于现有院区实际就诊人数、员工人数等相比原环评少，因此本评价参考原环评报告中的污染物排放数据，如表2-</w:t>
            </w:r>
            <w:r>
              <w:rPr>
                <w:color w:val="000000"/>
                <w:sz w:val="24"/>
              </w:rPr>
              <w:t>5</w:t>
            </w:r>
            <w:r>
              <w:rPr>
                <w:rFonts w:hint="eastAsia"/>
                <w:color w:val="000000"/>
                <w:sz w:val="24"/>
              </w:rPr>
              <w:t>所示。</w:t>
            </w:r>
          </w:p>
          <w:p>
            <w:pPr>
              <w:spacing w:line="360" w:lineRule="auto"/>
              <w:jc w:val="center"/>
              <w:rPr>
                <w:color w:val="000000"/>
                <w:sz w:val="24"/>
              </w:rPr>
            </w:pPr>
            <w:r>
              <w:rPr>
                <w:rFonts w:hint="eastAsia"/>
                <w:b/>
                <w:color w:val="000000"/>
                <w:sz w:val="24"/>
              </w:rPr>
              <w:t>表2-5</w:t>
            </w:r>
            <w:r>
              <w:rPr>
                <w:b/>
                <w:color w:val="000000"/>
                <w:sz w:val="24"/>
              </w:rPr>
              <w:t xml:space="preserve"> </w:t>
            </w:r>
            <w:r>
              <w:rPr>
                <w:rFonts w:hint="eastAsia"/>
                <w:b/>
                <w:color w:val="000000"/>
                <w:sz w:val="24"/>
              </w:rPr>
              <w:t>原有工程污染物排放情况</w:t>
            </w:r>
          </w:p>
          <w:tbl>
            <w:tblPr>
              <w:tblStyle w:val="27"/>
              <w:tblW w:w="5000"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835"/>
              <w:gridCol w:w="2654"/>
              <w:gridCol w:w="2797"/>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81"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分类</w:t>
                  </w:r>
                </w:p>
              </w:tc>
              <w:tc>
                <w:tcPr>
                  <w:tcW w:w="1088" w:type="pct"/>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污染源</w:t>
                  </w:r>
                </w:p>
              </w:tc>
              <w:tc>
                <w:tcPr>
                  <w:tcW w:w="1572"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污染物名称</w:t>
                  </w:r>
                </w:p>
              </w:tc>
              <w:tc>
                <w:tcPr>
                  <w:tcW w:w="1657"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排放量</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8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废气</w:t>
                  </w:r>
                </w:p>
              </w:tc>
              <w:tc>
                <w:tcPr>
                  <w:tcW w:w="1088"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color w:val="000000"/>
                      <w:szCs w:val="21"/>
                    </w:rPr>
                    <w:t>备用发电机燃油废气</w:t>
                  </w:r>
                </w:p>
              </w:tc>
              <w:tc>
                <w:tcPr>
                  <w:tcW w:w="1572"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position w:val="2"/>
                    </w:rPr>
                    <w:t>SO</w:t>
                  </w:r>
                  <w:r>
                    <w:rPr>
                      <w:rFonts w:ascii="Times New Roman" w:hAnsi="Times New Roman" w:eastAsia="宋体" w:cs="Times New Roman"/>
                      <w:position w:val="2"/>
                      <w:vertAlign w:val="subscript"/>
                    </w:rPr>
                    <w:t>2</w:t>
                  </w:r>
                </w:p>
              </w:tc>
              <w:tc>
                <w:tcPr>
                  <w:tcW w:w="1657"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0.050(kg/a)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81" w:type="pct"/>
                  <w:vMerge w:val="continue"/>
                  <w:vAlign w:val="center"/>
                </w:tcPr>
                <w:p>
                  <w:pPr>
                    <w:pStyle w:val="55"/>
                    <w:spacing w:beforeLines="0" w:afterLines="0" w:line="240" w:lineRule="auto"/>
                    <w:ind w:firstLine="0"/>
                    <w:rPr>
                      <w:rFonts w:ascii="Times New Roman" w:eastAsia="宋体"/>
                      <w:szCs w:val="21"/>
                    </w:rPr>
                  </w:pPr>
                </w:p>
              </w:tc>
              <w:tc>
                <w:tcPr>
                  <w:tcW w:w="1088" w:type="pct"/>
                  <w:vMerge w:val="continue"/>
                  <w:vAlign w:val="center"/>
                </w:tcPr>
                <w:p>
                  <w:pPr>
                    <w:pStyle w:val="55"/>
                    <w:spacing w:beforeLines="0" w:afterLines="0" w:line="240" w:lineRule="auto"/>
                    <w:ind w:firstLine="0"/>
                    <w:rPr>
                      <w:rFonts w:ascii="Times New Roman" w:eastAsia="宋体"/>
                      <w:szCs w:val="21"/>
                    </w:rPr>
                  </w:pPr>
                </w:p>
              </w:tc>
              <w:tc>
                <w:tcPr>
                  <w:tcW w:w="1572"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position w:val="2"/>
                    </w:rPr>
                    <w:t>NO</w:t>
                  </w:r>
                  <w:r>
                    <w:rPr>
                      <w:rFonts w:ascii="Times New Roman" w:hAnsi="Times New Roman" w:eastAsia="宋体" w:cs="Times New Roman"/>
                      <w:position w:val="2"/>
                      <w:vertAlign w:val="subscript"/>
                    </w:rPr>
                    <w:t>X</w:t>
                  </w:r>
                </w:p>
              </w:tc>
              <w:tc>
                <w:tcPr>
                  <w:tcW w:w="1657"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0.242(kg/a)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烟尘</w:t>
                  </w:r>
                </w:p>
              </w:tc>
              <w:tc>
                <w:tcPr>
                  <w:tcW w:w="1657"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0.158(kg/a)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烟气</w:t>
                  </w:r>
                </w:p>
              </w:tc>
              <w:tc>
                <w:tcPr>
                  <w:tcW w:w="1657" w:type="pct"/>
                  <w:vAlign w:val="center"/>
                </w:tcPr>
                <w:p>
                  <w:pPr>
                    <w:jc w:val="center"/>
                  </w:pPr>
                  <w:r>
                    <w:t>1440Nm</w:t>
                  </w:r>
                  <w:r>
                    <w:rPr>
                      <w:vertAlign w:val="superscript"/>
                    </w:rPr>
                    <w:t>3</w:t>
                  </w:r>
                  <w:r>
                    <w: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color w:val="000000"/>
                      <w:szCs w:val="21"/>
                    </w:rPr>
                    <w:t>汽车尾气（地下车库）</w:t>
                  </w:r>
                </w:p>
              </w:tc>
              <w:tc>
                <w:tcPr>
                  <w:tcW w:w="1572" w:type="pct"/>
                  <w:vAlign w:val="center"/>
                </w:tcPr>
                <w:p>
                  <w:pPr>
                    <w:pStyle w:val="80"/>
                    <w:rPr>
                      <w:snapToGrid w:val="0"/>
                      <w:color w:val="000000"/>
                      <w:kern w:val="21"/>
                    </w:rPr>
                  </w:pPr>
                  <w:r>
                    <w:rPr>
                      <w:color w:val="000000"/>
                    </w:rPr>
                    <w:t>CO</w:t>
                  </w:r>
                </w:p>
              </w:tc>
              <w:tc>
                <w:tcPr>
                  <w:tcW w:w="1657" w:type="pct"/>
                  <w:vAlign w:val="center"/>
                </w:tcPr>
                <w:p>
                  <w:pPr>
                    <w:jc w:val="center"/>
                  </w:pPr>
                  <w:r>
                    <w:t>14.2kg/a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81" w:type="pct"/>
                  <w:vMerge w:val="continue"/>
                  <w:vAlign w:val="center"/>
                </w:tcPr>
                <w:p>
                  <w:pPr>
                    <w:pStyle w:val="55"/>
                    <w:spacing w:beforeLines="0" w:afterLines="0" w:line="240" w:lineRule="auto"/>
                    <w:ind w:firstLine="0"/>
                    <w:rPr>
                      <w:rFonts w:ascii="Times New Roman" w:eastAsia="宋体"/>
                      <w:szCs w:val="21"/>
                    </w:rPr>
                  </w:pPr>
                </w:p>
              </w:tc>
              <w:tc>
                <w:tcPr>
                  <w:tcW w:w="1088" w:type="pct"/>
                  <w:vMerge w:val="continue"/>
                  <w:vAlign w:val="center"/>
                </w:tcPr>
                <w:p>
                  <w:pPr>
                    <w:pStyle w:val="55"/>
                    <w:spacing w:beforeLines="0" w:afterLines="0" w:line="240" w:lineRule="auto"/>
                    <w:ind w:firstLine="0"/>
                    <w:rPr>
                      <w:rFonts w:ascii="Times New Roman" w:eastAsia="宋体"/>
                      <w:szCs w:val="21"/>
                    </w:rPr>
                  </w:pPr>
                </w:p>
              </w:tc>
              <w:tc>
                <w:tcPr>
                  <w:tcW w:w="1572" w:type="pct"/>
                  <w:vAlign w:val="center"/>
                </w:tcPr>
                <w:p>
                  <w:pPr>
                    <w:pStyle w:val="80"/>
                    <w:rPr>
                      <w:snapToGrid w:val="0"/>
                      <w:color w:val="000000"/>
                      <w:kern w:val="21"/>
                    </w:rPr>
                  </w:pPr>
                  <w:r>
                    <w:rPr>
                      <w:color w:val="000000"/>
                    </w:rPr>
                    <w:t>HC</w:t>
                  </w:r>
                </w:p>
              </w:tc>
              <w:tc>
                <w:tcPr>
                  <w:tcW w:w="1657" w:type="pct"/>
                  <w:vAlign w:val="center"/>
                </w:tcPr>
                <w:p>
                  <w:pPr>
                    <w:jc w:val="center"/>
                  </w:pPr>
                  <w:r>
                    <w:t>1.24kg/a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color w:val="000000"/>
                      <w:szCs w:val="21"/>
                    </w:rPr>
                    <w:t>NO</w:t>
                  </w:r>
                  <w:r>
                    <w:rPr>
                      <w:rFonts w:ascii="Times New Roman" w:eastAsia="宋体"/>
                      <w:color w:val="000000"/>
                      <w:szCs w:val="21"/>
                      <w:vertAlign w:val="subscript"/>
                    </w:rPr>
                    <w:t>2</w:t>
                  </w:r>
                </w:p>
              </w:tc>
              <w:tc>
                <w:tcPr>
                  <w:tcW w:w="1657" w:type="pct"/>
                  <w:vAlign w:val="center"/>
                </w:tcPr>
                <w:p>
                  <w:pPr>
                    <w:jc w:val="center"/>
                  </w:pPr>
                  <w:r>
                    <w:t>0.93kg/a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8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废水</w:t>
                  </w:r>
                </w:p>
              </w:tc>
              <w:tc>
                <w:tcPr>
                  <w:tcW w:w="1088" w:type="pct"/>
                  <w:vMerge w:val="restart"/>
                  <w:vAlign w:val="center"/>
                </w:tcPr>
                <w:p>
                  <w:pPr>
                    <w:pStyle w:val="55"/>
                    <w:spacing w:beforeLines="0" w:afterLines="0" w:line="240" w:lineRule="auto"/>
                    <w:ind w:firstLine="0"/>
                    <w:rPr>
                      <w:rFonts w:ascii="Times New Roman" w:eastAsia="宋体"/>
                      <w:szCs w:val="21"/>
                    </w:rPr>
                  </w:pPr>
                  <w:r>
                    <w:rPr>
                      <w:rFonts w:ascii="Times New Roman" w:eastAsia="宋体"/>
                      <w:snapToGrid w:val="0"/>
                      <w:color w:val="000000"/>
                      <w:kern w:val="21"/>
                      <w:szCs w:val="21"/>
                    </w:rPr>
                    <w:t>生活废水</w:t>
                  </w:r>
                </w:p>
                <w:p>
                  <w:pPr>
                    <w:pStyle w:val="55"/>
                    <w:spacing w:beforeLines="0" w:afterLines="0" w:line="240" w:lineRule="auto"/>
                    <w:ind w:firstLine="0"/>
                    <w:rPr>
                      <w:rFonts w:ascii="Times New Roman" w:eastAsia="宋体"/>
                      <w:snapToGrid w:val="0"/>
                      <w:color w:val="000000"/>
                      <w:kern w:val="21"/>
                      <w:szCs w:val="21"/>
                    </w:rPr>
                  </w:pPr>
                  <w:r>
                    <w:rPr>
                      <w:rFonts w:ascii="Times New Roman" w:eastAsia="宋体"/>
                      <w:szCs w:val="21"/>
                    </w:rPr>
                    <w:t>医疗废水</w:t>
                  </w:r>
                </w:p>
              </w:tc>
              <w:tc>
                <w:tcPr>
                  <w:tcW w:w="1572"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排水量</w:t>
                  </w:r>
                </w:p>
              </w:tc>
              <w:tc>
                <w:tcPr>
                  <w:tcW w:w="1657" w:type="pct"/>
                  <w:vAlign w:val="center"/>
                </w:tcPr>
                <w:p>
                  <w:pPr>
                    <w:jc w:val="center"/>
                  </w:pPr>
                  <w:r>
                    <w:t>24674.12m</w:t>
                  </w:r>
                  <w:r>
                    <w:rPr>
                      <w:vertAlign w:val="superscript"/>
                    </w:rPr>
                    <w:t>3</w:t>
                  </w:r>
                  <w:r>
                    <w:t>/a（67.6m</w:t>
                  </w:r>
                  <w:r>
                    <w:rPr>
                      <w:vertAlign w:val="superscript"/>
                    </w:rPr>
                    <w:t>3</w:t>
                  </w:r>
                  <w:r>
                    <w:t>/d）</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1" w:type="pct"/>
                  <w:vMerge w:val="continue"/>
                  <w:vAlign w:val="center"/>
                </w:tcPr>
                <w:p>
                  <w:pPr>
                    <w:pStyle w:val="55"/>
                    <w:spacing w:beforeLines="0" w:afterLines="0" w:line="240" w:lineRule="auto"/>
                    <w:ind w:firstLine="0"/>
                    <w:rPr>
                      <w:rFonts w:ascii="Times New Roman" w:eastAsia="宋体"/>
                      <w:szCs w:val="21"/>
                    </w:rPr>
                  </w:pPr>
                </w:p>
              </w:tc>
              <w:tc>
                <w:tcPr>
                  <w:tcW w:w="1088" w:type="pct"/>
                  <w:vMerge w:val="continue"/>
                  <w:vAlign w:val="center"/>
                </w:tcPr>
                <w:p>
                  <w:pPr>
                    <w:pStyle w:val="55"/>
                    <w:spacing w:beforeLines="0" w:afterLines="0" w:line="240" w:lineRule="auto"/>
                    <w:ind w:firstLine="0"/>
                    <w:rPr>
                      <w:rFonts w:ascii="Times New Roman" w:eastAsia="宋体"/>
                      <w:szCs w:val="21"/>
                    </w:rPr>
                  </w:pPr>
                </w:p>
              </w:tc>
              <w:tc>
                <w:tcPr>
                  <w:tcW w:w="1572" w:type="pct"/>
                  <w:vAlign w:val="center"/>
                </w:tcPr>
                <w:p>
                  <w:pPr>
                    <w:pStyle w:val="63"/>
                    <w:spacing w:line="240" w:lineRule="auto"/>
                    <w:ind w:left="0"/>
                    <w:rPr>
                      <w:rFonts w:ascii="Times New Roman" w:eastAsia="宋体"/>
                      <w:snapToGrid w:val="0"/>
                      <w:color w:val="000000"/>
                      <w:kern w:val="21"/>
                    </w:rPr>
                  </w:pPr>
                  <w:r>
                    <w:rPr>
                      <w:rFonts w:ascii="Times New Roman" w:hAnsi="Times New Roman" w:eastAsia="宋体" w:cs="Times New Roman"/>
                      <w:position w:val="2"/>
                    </w:rPr>
                    <w:t>COD</w:t>
                  </w:r>
                  <w:r>
                    <w:rPr>
                      <w:rFonts w:ascii="Times New Roman" w:hAnsi="Times New Roman" w:eastAsia="宋体" w:cs="Times New Roman"/>
                      <w:position w:val="2"/>
                      <w:vertAlign w:val="subscript"/>
                    </w:rPr>
                    <w:t>Cr</w:t>
                  </w:r>
                </w:p>
              </w:tc>
              <w:tc>
                <w:tcPr>
                  <w:tcW w:w="1657" w:type="pct"/>
                  <w:vAlign w:val="center"/>
                </w:tcPr>
                <w:p>
                  <w:pPr>
                    <w:jc w:val="center"/>
                  </w:pPr>
                  <w:r>
                    <w:t>9.253t/a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eastAsia="宋体"/>
                      <w:snapToGrid w:val="0"/>
                      <w:color w:val="000000"/>
                      <w:kern w:val="21"/>
                    </w:rPr>
                  </w:pPr>
                  <w:r>
                    <w:rPr>
                      <w:rFonts w:ascii="Times New Roman" w:hAnsi="Times New Roman" w:eastAsia="宋体" w:cs="Times New Roman"/>
                      <w:position w:val="2"/>
                    </w:rPr>
                    <w:t>BOD</w:t>
                  </w:r>
                  <w:r>
                    <w:rPr>
                      <w:rFonts w:ascii="Times New Roman" w:hAnsi="Times New Roman" w:eastAsia="宋体" w:cs="Times New Roman"/>
                      <w:position w:val="2"/>
                      <w:vertAlign w:val="subscript"/>
                    </w:rPr>
                    <w:t>5</w:t>
                  </w:r>
                </w:p>
              </w:tc>
              <w:tc>
                <w:tcPr>
                  <w:tcW w:w="1657" w:type="pct"/>
                  <w:vAlign w:val="center"/>
                </w:tcPr>
                <w:p>
                  <w:pPr>
                    <w:jc w:val="center"/>
                  </w:pPr>
                  <w:r>
                    <w:t>3.701t/a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eastAsia="宋体"/>
                      <w:snapToGrid w:val="0"/>
                      <w:color w:val="000000"/>
                      <w:kern w:val="21"/>
                    </w:rPr>
                  </w:pPr>
                  <w:r>
                    <w:rPr>
                      <w:rFonts w:ascii="Times New Roman" w:hAnsi="Times New Roman" w:eastAsia="宋体" w:cs="Times New Roman"/>
                    </w:rPr>
                    <w:t>SS</w:t>
                  </w:r>
                </w:p>
              </w:tc>
              <w:tc>
                <w:tcPr>
                  <w:tcW w:w="1657" w:type="pct"/>
                  <w:vAlign w:val="center"/>
                </w:tcPr>
                <w:p>
                  <w:pPr>
                    <w:jc w:val="center"/>
                  </w:pPr>
                  <w:r>
                    <w:t>6.169t/a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eastAsia="宋体"/>
                      <w:snapToGrid w:val="0"/>
                      <w:color w:val="000000"/>
                      <w:kern w:val="21"/>
                    </w:rPr>
                  </w:pPr>
                  <w:r>
                    <w:rPr>
                      <w:rFonts w:ascii="Times New Roman" w:hAnsi="Times New Roman" w:eastAsia="宋体" w:cs="Times New Roman"/>
                    </w:rPr>
                    <w:t>氨氮</w:t>
                  </w:r>
                </w:p>
              </w:tc>
              <w:tc>
                <w:tcPr>
                  <w:tcW w:w="1657" w:type="pct"/>
                  <w:vAlign w:val="center"/>
                </w:tcPr>
                <w:p>
                  <w:pPr>
                    <w:jc w:val="center"/>
                  </w:pPr>
                  <w:r>
                    <w:t>0.740t/a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572"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rPr>
                    <w:t>粪大肠菌群数(个/L)</w:t>
                  </w:r>
                </w:p>
              </w:tc>
              <w:tc>
                <w:tcPr>
                  <w:tcW w:w="1657" w:type="pct"/>
                  <w:vAlign w:val="center"/>
                </w:tcPr>
                <w:p>
                  <w:pPr>
                    <w:jc w:val="center"/>
                  </w:pPr>
                  <w:r>
                    <w:t>3.9×10</w:t>
                  </w:r>
                  <w:r>
                    <w:rPr>
                      <w:vertAlign w:val="superscript"/>
                    </w:rPr>
                    <w:t>15</w:t>
                  </w:r>
                  <w:r>
                    <w:t xml:space="preserve"> 个/a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wAfter w:w="0" w:type="auto"/>
                <w:trHeight w:val="283" w:hRule="atLeast"/>
                <w:jc w:val="center"/>
              </w:trPr>
              <w:tc>
                <w:tcPr>
                  <w:tcW w:w="68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固体废物</w:t>
                  </w:r>
                </w:p>
              </w:tc>
              <w:tc>
                <w:tcPr>
                  <w:tcW w:w="1088"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生活垃圾</w:t>
                  </w:r>
                </w:p>
              </w:tc>
              <w:tc>
                <w:tcPr>
                  <w:tcW w:w="1572"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院区生活垃圾</w:t>
                  </w:r>
                </w:p>
              </w:tc>
              <w:tc>
                <w:tcPr>
                  <w:tcW w:w="1657"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zCs w:val="21"/>
                    </w:rPr>
                    <w:t>5.5t/a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1" w:type="pct"/>
                  <w:vMerge w:val="continue"/>
                  <w:vAlign w:val="center"/>
                </w:tcPr>
                <w:p>
                  <w:pPr>
                    <w:pStyle w:val="55"/>
                    <w:spacing w:beforeLines="0" w:afterLines="0" w:line="240" w:lineRule="auto"/>
                    <w:ind w:firstLine="0"/>
                    <w:rPr>
                      <w:rFonts w:ascii="Times New Roman" w:eastAsia="宋体"/>
                      <w:szCs w:val="21"/>
                    </w:rPr>
                  </w:pPr>
                </w:p>
              </w:tc>
              <w:tc>
                <w:tcPr>
                  <w:tcW w:w="2660" w:type="pct"/>
                  <w:gridSpan w:val="2"/>
                  <w:vAlign w:val="center"/>
                </w:tcPr>
                <w:p>
                  <w:pPr>
                    <w:pStyle w:val="55"/>
                    <w:spacing w:beforeLines="0" w:afterLines="0" w:line="240" w:lineRule="auto"/>
                    <w:ind w:firstLine="0"/>
                    <w:jc w:val="both"/>
                    <w:rPr>
                      <w:rFonts w:ascii="Times New Roman" w:eastAsia="宋体"/>
                      <w:snapToGrid w:val="0"/>
                      <w:color w:val="000000"/>
                      <w:kern w:val="21"/>
                    </w:rPr>
                  </w:pPr>
                  <w:r>
                    <w:rPr>
                      <w:rFonts w:ascii="Times New Roman" w:eastAsia="宋体"/>
                      <w:snapToGrid w:val="0"/>
                      <w:color w:val="000000"/>
                      <w:kern w:val="21"/>
                      <w:szCs w:val="21"/>
                    </w:rPr>
                    <w:t>医疗废物</w:t>
                  </w:r>
                  <w:r>
                    <w:rPr>
                      <w:rStyle w:val="33"/>
                      <w:rFonts w:hint="eastAsia" w:ascii="Times New Roman" w:eastAsia="宋体"/>
                    </w:rPr>
                    <w:t>（包含</w:t>
                  </w:r>
                  <w:r>
                    <w:rPr>
                      <w:rFonts w:ascii="Times New Roman" w:eastAsia="宋体"/>
                    </w:rPr>
                    <w:t>感染性废物</w:t>
                  </w:r>
                  <w:r>
                    <w:rPr>
                      <w:rFonts w:hint="eastAsia" w:ascii="Times New Roman" w:eastAsia="宋体"/>
                    </w:rPr>
                    <w:t>、</w:t>
                  </w:r>
                  <w:r>
                    <w:rPr>
                      <w:rFonts w:ascii="Times New Roman" w:eastAsia="宋体"/>
                    </w:rPr>
                    <w:t>病理性废物</w:t>
                  </w:r>
                  <w:r>
                    <w:rPr>
                      <w:rFonts w:hint="eastAsia" w:ascii="Times New Roman" w:eastAsia="宋体"/>
                    </w:rPr>
                    <w:t>、</w:t>
                  </w:r>
                  <w:r>
                    <w:rPr>
                      <w:rFonts w:ascii="Times New Roman" w:eastAsia="宋体"/>
                    </w:rPr>
                    <w:t>损伤性废物</w:t>
                  </w:r>
                  <w:r>
                    <w:rPr>
                      <w:rFonts w:hint="eastAsia" w:ascii="Times New Roman" w:eastAsia="宋体"/>
                    </w:rPr>
                    <w:t>、</w:t>
                  </w:r>
                  <w:r>
                    <w:rPr>
                      <w:rFonts w:ascii="Times New Roman" w:eastAsia="宋体"/>
                    </w:rPr>
                    <w:t>药物性废物</w:t>
                  </w:r>
                  <w:r>
                    <w:rPr>
                      <w:rFonts w:hint="eastAsia" w:ascii="Times New Roman" w:eastAsia="宋体"/>
                    </w:rPr>
                    <w:t>、</w:t>
                  </w:r>
                  <w:r>
                    <w:rPr>
                      <w:rFonts w:ascii="Times New Roman" w:eastAsia="宋体"/>
                    </w:rPr>
                    <w:t>化学性废物</w:t>
                  </w:r>
                  <w:r>
                    <w:rPr>
                      <w:rFonts w:hint="eastAsia" w:ascii="Times New Roman" w:eastAsia="宋体"/>
                    </w:rPr>
                    <w:t>）</w:t>
                  </w:r>
                </w:p>
              </w:tc>
              <w:tc>
                <w:tcPr>
                  <w:tcW w:w="1657" w:type="pct"/>
                  <w:vAlign w:val="center"/>
                </w:tcPr>
                <w:p>
                  <w:pPr>
                    <w:pStyle w:val="63"/>
                    <w:spacing w:line="240" w:lineRule="auto"/>
                    <w:ind w:left="0"/>
                    <w:rPr>
                      <w:rFonts w:ascii="Times New Roman" w:hAnsi="Times New Roman" w:eastAsia="宋体" w:cs="Times New Roman"/>
                      <w:snapToGrid w:val="0"/>
                      <w:color w:val="000000"/>
                      <w:kern w:val="21"/>
                    </w:rPr>
                  </w:pPr>
                  <w:r>
                    <w:rPr>
                      <w:rFonts w:hint="eastAsia" w:ascii="Times New Roman" w:hAnsi="Times New Roman" w:eastAsia="宋体" w:cs="Times New Roman"/>
                      <w:w w:val="99"/>
                      <w:lang w:eastAsia="zh-CN"/>
                    </w:rPr>
                    <w:t>6.5</w:t>
                  </w:r>
                  <w:r>
                    <w:rPr>
                      <w:rFonts w:ascii="Times New Roman" w:hAnsi="Times New Roman" w:eastAsia="宋体" w:cs="Times New Roman"/>
                    </w:rPr>
                    <w:t>t/a</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PrEx>
              <w:trPr>
                <w:trHeight w:val="396" w:hRule="atLeast"/>
                <w:jc w:val="center"/>
              </w:trPr>
              <w:tc>
                <w:tcPr>
                  <w:tcW w:w="68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1088"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危险废物</w:t>
                  </w:r>
                </w:p>
              </w:tc>
              <w:tc>
                <w:tcPr>
                  <w:tcW w:w="1572" w:type="pct"/>
                  <w:vAlign w:val="center"/>
                </w:tcPr>
                <w:p>
                  <w:pPr>
                    <w:jc w:val="center"/>
                    <w:rPr>
                      <w:snapToGrid w:val="0"/>
                      <w:color w:val="000000"/>
                      <w:kern w:val="21"/>
                    </w:rPr>
                  </w:pPr>
                  <w:r>
                    <w:rPr>
                      <w:color w:val="000000"/>
                    </w:rPr>
                    <w:t>污水处理站污泥</w:t>
                  </w:r>
                </w:p>
              </w:tc>
              <w:tc>
                <w:tcPr>
                  <w:tcW w:w="1657" w:type="pct"/>
                  <w:vAlign w:val="center"/>
                </w:tcPr>
                <w:p>
                  <w:pPr>
                    <w:jc w:val="center"/>
                    <w:rPr>
                      <w:snapToGrid w:val="0"/>
                      <w:color w:val="000000"/>
                      <w:kern w:val="21"/>
                    </w:rPr>
                  </w:pPr>
                  <w:r>
                    <w:t>9.5 t/a</w:t>
                  </w:r>
                </w:p>
              </w:tc>
            </w:tr>
          </w:tbl>
          <w:p>
            <w:pPr>
              <w:pStyle w:val="4"/>
              <w:spacing w:line="360" w:lineRule="auto"/>
              <w:ind w:firstLine="480" w:firstLineChars="200"/>
            </w:pPr>
          </w:p>
        </w:tc>
      </w:tr>
    </w:tbl>
    <w:p>
      <w:pPr>
        <w:pStyle w:val="25"/>
        <w:jc w:val="center"/>
        <w:rPr>
          <w:rFonts w:ascii="黑体" w:hAnsi="黑体" w:eastAsia="黑体"/>
          <w:snapToGrid w:val="0"/>
          <w:color w:val="000000"/>
          <w:sz w:val="36"/>
          <w:szCs w:val="36"/>
        </w:rPr>
        <w:sectPr>
          <w:pgSz w:w="11906" w:h="16838"/>
          <w:pgMar w:top="1701" w:right="1531" w:bottom="1701" w:left="1531" w:header="851" w:footer="851" w:gutter="0"/>
          <w:cols w:space="720" w:num="1"/>
          <w:docGrid w:linePitch="312" w:charSpace="0"/>
        </w:sectPr>
      </w:pPr>
    </w:p>
    <w:p>
      <w:pPr>
        <w:pStyle w:val="25"/>
        <w:adjustRightInd w:val="0"/>
        <w:snapToGrid w:val="0"/>
        <w:spacing w:before="0" w:beforeAutospacing="0" w:after="0" w:afterAutospacing="0" w:line="14" w:lineRule="auto"/>
        <w:jc w:val="center"/>
        <w:rPr>
          <w:rFonts w:ascii="黑体" w:hAnsi="黑体" w:eastAsia="黑体"/>
          <w:snapToGrid w:val="0"/>
          <w:color w:val="000000"/>
          <w:sz w:val="30"/>
          <w:szCs w:val="30"/>
        </w:rPr>
      </w:pPr>
    </w:p>
    <w:p>
      <w:pPr>
        <w:pStyle w:val="25"/>
        <w:jc w:val="center"/>
        <w:outlineLvl w:val="0"/>
        <w:rPr>
          <w:rFonts w:ascii="黑体" w:hAnsi="黑体" w:eastAsia="黑体"/>
          <w:snapToGrid w:val="0"/>
          <w:color w:val="000000"/>
          <w:sz w:val="30"/>
          <w:szCs w:val="30"/>
        </w:rPr>
      </w:pPr>
      <w:bookmarkStart w:id="8" w:name="_GoBack"/>
      <w:bookmarkEnd w:id="8"/>
      <w:r>
        <w:rPr>
          <w:rFonts w:hint="eastAsia" w:ascii="黑体" w:hAnsi="黑体" w:eastAsia="黑体"/>
          <w:snapToGrid w:val="0"/>
          <w:color w:val="000000"/>
          <w:sz w:val="30"/>
          <w:szCs w:val="30"/>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6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8" w:hRule="atLeast"/>
          <w:jc w:val="center"/>
        </w:trPr>
        <w:tc>
          <w:tcPr>
            <w:tcW w:w="386" w:type="dxa"/>
            <w:vAlign w:val="center"/>
          </w:tcPr>
          <w:p>
            <w:pPr>
              <w:adjustRightInd w:val="0"/>
              <w:snapToGrid w:val="0"/>
              <w:jc w:val="center"/>
              <w:rPr>
                <w:color w:val="000000"/>
                <w:kern w:val="0"/>
              </w:rPr>
            </w:pPr>
            <w:r>
              <w:rPr>
                <w:color w:val="000000"/>
                <w:kern w:val="0"/>
              </w:rPr>
              <w:t>区域</w:t>
            </w:r>
          </w:p>
          <w:p>
            <w:pPr>
              <w:adjustRightInd w:val="0"/>
              <w:snapToGrid w:val="0"/>
              <w:jc w:val="center"/>
              <w:rPr>
                <w:color w:val="000000"/>
                <w:kern w:val="0"/>
              </w:rPr>
            </w:pPr>
            <w:r>
              <w:rPr>
                <w:color w:val="000000"/>
                <w:kern w:val="0"/>
              </w:rPr>
              <w:t>环境</w:t>
            </w:r>
          </w:p>
          <w:p>
            <w:pPr>
              <w:adjustRightInd w:val="0"/>
              <w:snapToGrid w:val="0"/>
              <w:jc w:val="center"/>
              <w:rPr>
                <w:color w:val="000000"/>
                <w:kern w:val="0"/>
              </w:rPr>
            </w:pPr>
            <w:r>
              <w:rPr>
                <w:color w:val="000000"/>
                <w:kern w:val="0"/>
              </w:rPr>
              <w:t>质量</w:t>
            </w:r>
          </w:p>
          <w:p>
            <w:pPr>
              <w:adjustRightInd w:val="0"/>
              <w:snapToGrid w:val="0"/>
              <w:jc w:val="center"/>
              <w:rPr>
                <w:color w:val="000000"/>
                <w:kern w:val="0"/>
              </w:rPr>
            </w:pPr>
            <w:r>
              <w:rPr>
                <w:color w:val="000000"/>
                <w:kern w:val="0"/>
              </w:rPr>
              <w:t>现状</w:t>
            </w:r>
          </w:p>
        </w:tc>
        <w:tc>
          <w:tcPr>
            <w:tcW w:w="8604" w:type="dxa"/>
            <w:vAlign w:val="center"/>
          </w:tcPr>
          <w:p>
            <w:pPr>
              <w:rPr>
                <w:b/>
                <w:color w:val="000000"/>
                <w:sz w:val="28"/>
              </w:rPr>
            </w:pPr>
            <w:r>
              <w:rPr>
                <w:b/>
                <w:color w:val="000000"/>
                <w:sz w:val="28"/>
              </w:rPr>
              <w:t>建设项目所在地区域环境质量现状及主要环境问题(环境空气、地表水、地下水、声环境、生态环境等)</w:t>
            </w:r>
          </w:p>
          <w:p>
            <w:pPr>
              <w:spacing w:before="120" w:beforeLines="50" w:line="360" w:lineRule="auto"/>
              <w:ind w:firstLine="482" w:firstLineChars="200"/>
              <w:rPr>
                <w:b/>
                <w:color w:val="000000"/>
                <w:sz w:val="24"/>
              </w:rPr>
            </w:pPr>
            <w:r>
              <w:rPr>
                <w:b/>
                <w:color w:val="000000"/>
                <w:sz w:val="24"/>
              </w:rPr>
              <w:t>1、大气环境质量现状</w:t>
            </w:r>
          </w:p>
          <w:p>
            <w:pPr>
              <w:pStyle w:val="6"/>
              <w:widowControl/>
              <w:numPr>
                <w:ilvl w:val="3"/>
                <w:numId w:val="0"/>
              </w:numPr>
              <w:shd w:val="clear" w:color="auto" w:fill="FFFFFF"/>
              <w:spacing w:line="360" w:lineRule="auto"/>
              <w:ind w:firstLine="480" w:firstLineChars="200"/>
              <w:rPr>
                <w:rFonts w:ascii="Times New Roman" w:hAnsi="Times New Roman" w:cs="Times New Roman"/>
                <w:b w:val="0"/>
                <w:color w:val="000000"/>
              </w:rPr>
            </w:pPr>
            <w:r>
              <w:rPr>
                <w:rFonts w:ascii="Times New Roman" w:hAnsi="Times New Roman" w:cs="Times New Roman"/>
                <w:b w:val="0"/>
                <w:color w:val="000000"/>
              </w:rPr>
              <w:t>根据《</w:t>
            </w:r>
            <w:r>
              <w:rPr>
                <w:rFonts w:ascii="Times New Roman" w:hAnsi="Times New Roman" w:cs="Times New Roman"/>
                <w:b w:val="0"/>
                <w:color w:val="333333"/>
                <w:shd w:val="clear" w:color="auto" w:fill="FFFFFF"/>
              </w:rPr>
              <w:t>2020年1-12月清远市各县（市、区）空气、水环境质量状况发布</w:t>
            </w:r>
            <w:r>
              <w:rPr>
                <w:rFonts w:ascii="Times New Roman" w:hAnsi="Times New Roman" w:cs="Times New Roman"/>
                <w:b w:val="0"/>
                <w:color w:val="000000"/>
              </w:rPr>
              <w:t>》</w:t>
            </w:r>
            <w:r>
              <w:rPr>
                <w:rFonts w:ascii="Times New Roman" w:hAnsi="Times New Roman" w:cs="Times New Roman"/>
                <w:color w:val="000000"/>
              </w:rPr>
              <w:t>，</w:t>
            </w:r>
            <w:r>
              <w:rPr>
                <w:rFonts w:ascii="Times New Roman" w:hAnsi="Times New Roman" w:cs="Times New Roman"/>
                <w:b w:val="0"/>
                <w:color w:val="000000"/>
              </w:rPr>
              <w:t>连州市2020年环境空气质量见表3-1。</w:t>
            </w:r>
          </w:p>
          <w:p>
            <w:pPr>
              <w:pStyle w:val="16"/>
              <w:spacing w:line="360" w:lineRule="auto"/>
              <w:rPr>
                <w:b w:val="0"/>
                <w:bCs/>
                <w:color w:val="000000"/>
                <w:sz w:val="24"/>
                <w:szCs w:val="24"/>
              </w:rPr>
            </w:pPr>
            <w:bookmarkStart w:id="2" w:name="_Ref38622201"/>
            <w:r>
              <w:rPr>
                <w:rFonts w:hint="eastAsia"/>
                <w:b w:val="0"/>
                <w:bCs/>
                <w:color w:val="000000"/>
                <w:sz w:val="24"/>
                <w:szCs w:val="24"/>
              </w:rPr>
              <w:t>表3</w:t>
            </w:r>
            <w:r>
              <w:rPr>
                <w:b w:val="0"/>
                <w:bCs/>
                <w:color w:val="000000"/>
                <w:sz w:val="24"/>
                <w:szCs w:val="24"/>
              </w:rPr>
              <w:noBreakHyphen/>
            </w:r>
            <w:r>
              <w:rPr>
                <w:b w:val="0"/>
                <w:bCs/>
                <w:color w:val="000000"/>
                <w:sz w:val="24"/>
                <w:szCs w:val="24"/>
              </w:rPr>
              <w:fldChar w:fldCharType="begin"/>
            </w:r>
            <w:r>
              <w:rPr>
                <w:b w:val="0"/>
                <w:bCs/>
                <w:color w:val="000000"/>
                <w:sz w:val="24"/>
                <w:szCs w:val="24"/>
              </w:rPr>
              <w:instrText xml:space="preserve"> </w:instrText>
            </w:r>
            <w:r>
              <w:rPr>
                <w:rFonts w:hint="eastAsia"/>
                <w:b w:val="0"/>
                <w:bCs/>
                <w:color w:val="000000"/>
                <w:sz w:val="24"/>
                <w:szCs w:val="24"/>
              </w:rPr>
              <w:instrText xml:space="preserve">SEQ 表 \* ARABIC \s 2</w:instrText>
            </w:r>
            <w:r>
              <w:rPr>
                <w:b w:val="0"/>
                <w:bCs/>
                <w:color w:val="000000"/>
                <w:sz w:val="24"/>
                <w:szCs w:val="24"/>
              </w:rPr>
              <w:instrText xml:space="preserve"> </w:instrText>
            </w:r>
            <w:r>
              <w:rPr>
                <w:b w:val="0"/>
                <w:bCs/>
                <w:color w:val="000000"/>
                <w:sz w:val="24"/>
                <w:szCs w:val="24"/>
              </w:rPr>
              <w:fldChar w:fldCharType="separate"/>
            </w:r>
            <w:r>
              <w:rPr>
                <w:b w:val="0"/>
                <w:bCs/>
                <w:color w:val="000000"/>
                <w:sz w:val="24"/>
                <w:szCs w:val="24"/>
              </w:rPr>
              <w:t>1</w:t>
            </w:r>
            <w:r>
              <w:rPr>
                <w:b w:val="0"/>
                <w:bCs/>
                <w:color w:val="000000"/>
                <w:sz w:val="24"/>
                <w:szCs w:val="24"/>
              </w:rPr>
              <w:fldChar w:fldCharType="end"/>
            </w:r>
            <w:bookmarkEnd w:id="2"/>
            <w:r>
              <w:rPr>
                <w:rFonts w:hint="eastAsia"/>
                <w:b w:val="0"/>
                <w:bCs/>
                <w:color w:val="000000"/>
                <w:sz w:val="24"/>
                <w:szCs w:val="24"/>
              </w:rPr>
              <w:t xml:space="preserve"> </w:t>
            </w:r>
            <w:r>
              <w:rPr>
                <w:b w:val="0"/>
                <w:bCs/>
                <w:color w:val="000000"/>
                <w:sz w:val="24"/>
                <w:szCs w:val="24"/>
              </w:rPr>
              <w:t>空气质量现状评价表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2937"/>
              <w:gridCol w:w="1286"/>
              <w:gridCol w:w="1276"/>
              <w:gridCol w:w="822"/>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45" w:type="dxa"/>
                  <w:vAlign w:val="center"/>
                </w:tcPr>
                <w:p>
                  <w:pPr>
                    <w:pStyle w:val="78"/>
                    <w:spacing w:line="240" w:lineRule="auto"/>
                    <w:rPr>
                      <w:color w:val="000000"/>
                      <w:sz w:val="24"/>
                      <w:szCs w:val="24"/>
                    </w:rPr>
                  </w:pPr>
                  <w:r>
                    <w:rPr>
                      <w:color w:val="000000"/>
                      <w:sz w:val="24"/>
                      <w:szCs w:val="24"/>
                    </w:rPr>
                    <w:t>污染物</w:t>
                  </w:r>
                </w:p>
              </w:tc>
              <w:tc>
                <w:tcPr>
                  <w:tcW w:w="3436" w:type="dxa"/>
                  <w:vAlign w:val="center"/>
                </w:tcPr>
                <w:p>
                  <w:pPr>
                    <w:pStyle w:val="78"/>
                    <w:spacing w:line="240" w:lineRule="auto"/>
                    <w:rPr>
                      <w:color w:val="000000"/>
                      <w:sz w:val="24"/>
                      <w:szCs w:val="24"/>
                    </w:rPr>
                  </w:pPr>
                  <w:r>
                    <w:rPr>
                      <w:color w:val="000000"/>
                      <w:sz w:val="24"/>
                      <w:szCs w:val="24"/>
                    </w:rPr>
                    <w:t>年评价指标</w:t>
                  </w:r>
                </w:p>
              </w:tc>
              <w:tc>
                <w:tcPr>
                  <w:tcW w:w="1288" w:type="dxa"/>
                  <w:vAlign w:val="center"/>
                </w:tcPr>
                <w:p>
                  <w:pPr>
                    <w:pStyle w:val="78"/>
                    <w:spacing w:line="240" w:lineRule="auto"/>
                    <w:rPr>
                      <w:color w:val="000000"/>
                      <w:sz w:val="24"/>
                      <w:szCs w:val="24"/>
                    </w:rPr>
                  </w:pPr>
                  <w:r>
                    <w:rPr>
                      <w:color w:val="000000"/>
                      <w:sz w:val="24"/>
                      <w:szCs w:val="24"/>
                    </w:rPr>
                    <w:t>现状浓度/（μg/m</w:t>
                  </w:r>
                  <w:r>
                    <w:rPr>
                      <w:color w:val="000000"/>
                      <w:sz w:val="24"/>
                      <w:szCs w:val="24"/>
                      <w:vertAlign w:val="superscript"/>
                    </w:rPr>
                    <w:t>3</w:t>
                  </w:r>
                  <w:r>
                    <w:rPr>
                      <w:color w:val="000000"/>
                      <w:sz w:val="24"/>
                      <w:szCs w:val="24"/>
                    </w:rPr>
                    <w:t>）</w:t>
                  </w:r>
                </w:p>
              </w:tc>
              <w:tc>
                <w:tcPr>
                  <w:tcW w:w="1145" w:type="dxa"/>
                  <w:vAlign w:val="center"/>
                </w:tcPr>
                <w:p>
                  <w:pPr>
                    <w:pStyle w:val="78"/>
                    <w:spacing w:line="240" w:lineRule="auto"/>
                    <w:rPr>
                      <w:color w:val="000000"/>
                      <w:sz w:val="24"/>
                      <w:szCs w:val="24"/>
                    </w:rPr>
                  </w:pPr>
                  <w:r>
                    <w:rPr>
                      <w:color w:val="000000"/>
                      <w:sz w:val="24"/>
                      <w:szCs w:val="24"/>
                    </w:rPr>
                    <w:t>标准值/（μg/m</w:t>
                  </w:r>
                  <w:r>
                    <w:rPr>
                      <w:color w:val="000000"/>
                      <w:sz w:val="24"/>
                      <w:szCs w:val="24"/>
                      <w:vertAlign w:val="superscript"/>
                    </w:rPr>
                    <w:t>3</w:t>
                  </w:r>
                  <w:r>
                    <w:rPr>
                      <w:color w:val="000000"/>
                      <w:sz w:val="24"/>
                      <w:szCs w:val="24"/>
                    </w:rPr>
                    <w:t>）</w:t>
                  </w:r>
                </w:p>
              </w:tc>
              <w:tc>
                <w:tcPr>
                  <w:tcW w:w="859" w:type="dxa"/>
                  <w:vAlign w:val="center"/>
                </w:tcPr>
                <w:p>
                  <w:pPr>
                    <w:pStyle w:val="78"/>
                    <w:spacing w:line="240" w:lineRule="auto"/>
                    <w:rPr>
                      <w:color w:val="000000"/>
                      <w:sz w:val="24"/>
                      <w:szCs w:val="24"/>
                    </w:rPr>
                  </w:pPr>
                  <w:r>
                    <w:rPr>
                      <w:color w:val="000000"/>
                      <w:sz w:val="24"/>
                      <w:szCs w:val="24"/>
                    </w:rPr>
                    <w:t>占标率/%</w:t>
                  </w:r>
                </w:p>
              </w:tc>
              <w:tc>
                <w:tcPr>
                  <w:tcW w:w="1183" w:type="dxa"/>
                  <w:vAlign w:val="center"/>
                </w:tcPr>
                <w:p>
                  <w:pPr>
                    <w:pStyle w:val="78"/>
                    <w:spacing w:line="240" w:lineRule="auto"/>
                    <w:rPr>
                      <w:color w:val="000000"/>
                      <w:sz w:val="24"/>
                      <w:szCs w:val="24"/>
                    </w:rPr>
                  </w:pPr>
                  <w:r>
                    <w:rPr>
                      <w:color w:val="000000"/>
                      <w:sz w:val="24"/>
                      <w:szCs w:val="24"/>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045" w:type="dxa"/>
                  <w:vAlign w:val="center"/>
                </w:tcPr>
                <w:p>
                  <w:pPr>
                    <w:pStyle w:val="78"/>
                    <w:spacing w:line="240" w:lineRule="auto"/>
                    <w:rPr>
                      <w:color w:val="000000"/>
                      <w:sz w:val="24"/>
                      <w:szCs w:val="24"/>
                    </w:rPr>
                  </w:pPr>
                  <w:r>
                    <w:rPr>
                      <w:color w:val="000000"/>
                      <w:sz w:val="24"/>
                      <w:szCs w:val="24"/>
                    </w:rPr>
                    <w:t>SO</w:t>
                  </w:r>
                  <w:r>
                    <w:rPr>
                      <w:color w:val="000000"/>
                      <w:sz w:val="24"/>
                      <w:szCs w:val="24"/>
                      <w:vertAlign w:val="subscript"/>
                    </w:rPr>
                    <w:t>2</w:t>
                  </w:r>
                </w:p>
              </w:tc>
              <w:tc>
                <w:tcPr>
                  <w:tcW w:w="3436" w:type="dxa"/>
                  <w:vAlign w:val="center"/>
                </w:tcPr>
                <w:p>
                  <w:pPr>
                    <w:pStyle w:val="78"/>
                    <w:spacing w:line="240" w:lineRule="auto"/>
                    <w:rPr>
                      <w:color w:val="000000"/>
                      <w:sz w:val="24"/>
                      <w:szCs w:val="24"/>
                    </w:rPr>
                  </w:pPr>
                  <w:r>
                    <w:rPr>
                      <w:color w:val="000000"/>
                      <w:sz w:val="24"/>
                      <w:szCs w:val="24"/>
                    </w:rPr>
                    <w:t>年平均质量浓度</w:t>
                  </w:r>
                </w:p>
              </w:tc>
              <w:tc>
                <w:tcPr>
                  <w:tcW w:w="1288" w:type="dxa"/>
                  <w:vAlign w:val="center"/>
                </w:tcPr>
                <w:p>
                  <w:pPr>
                    <w:pStyle w:val="78"/>
                    <w:spacing w:line="240" w:lineRule="auto"/>
                    <w:rPr>
                      <w:color w:val="000000"/>
                      <w:sz w:val="24"/>
                      <w:szCs w:val="24"/>
                    </w:rPr>
                  </w:pPr>
                  <w:r>
                    <w:rPr>
                      <w:color w:val="000000"/>
                      <w:sz w:val="24"/>
                      <w:szCs w:val="24"/>
                    </w:rPr>
                    <w:t>10</w:t>
                  </w:r>
                </w:p>
              </w:tc>
              <w:tc>
                <w:tcPr>
                  <w:tcW w:w="1145" w:type="dxa"/>
                  <w:vAlign w:val="center"/>
                </w:tcPr>
                <w:p>
                  <w:pPr>
                    <w:pStyle w:val="78"/>
                    <w:spacing w:line="240" w:lineRule="auto"/>
                    <w:rPr>
                      <w:color w:val="000000"/>
                      <w:sz w:val="24"/>
                      <w:szCs w:val="24"/>
                    </w:rPr>
                  </w:pPr>
                  <w:r>
                    <w:rPr>
                      <w:color w:val="000000"/>
                      <w:sz w:val="24"/>
                      <w:szCs w:val="24"/>
                    </w:rPr>
                    <w:t>60</w:t>
                  </w:r>
                </w:p>
              </w:tc>
              <w:tc>
                <w:tcPr>
                  <w:tcW w:w="859" w:type="dxa"/>
                  <w:vAlign w:val="center"/>
                </w:tcPr>
                <w:p>
                  <w:pPr>
                    <w:pStyle w:val="78"/>
                    <w:spacing w:line="240" w:lineRule="auto"/>
                    <w:rPr>
                      <w:color w:val="000000"/>
                      <w:sz w:val="24"/>
                      <w:szCs w:val="24"/>
                    </w:rPr>
                  </w:pPr>
                  <w:r>
                    <w:rPr>
                      <w:color w:val="000000"/>
                      <w:sz w:val="24"/>
                      <w:szCs w:val="24"/>
                    </w:rPr>
                    <w:t>13.3</w:t>
                  </w:r>
                </w:p>
              </w:tc>
              <w:tc>
                <w:tcPr>
                  <w:tcW w:w="1183" w:type="dxa"/>
                  <w:vAlign w:val="center"/>
                </w:tcPr>
                <w:p>
                  <w:pPr>
                    <w:pStyle w:val="78"/>
                    <w:spacing w:line="240" w:lineRule="auto"/>
                    <w:rPr>
                      <w:color w:val="000000"/>
                      <w:sz w:val="24"/>
                      <w:szCs w:val="24"/>
                    </w:rPr>
                  </w:pPr>
                  <w:r>
                    <w:rPr>
                      <w:color w:val="000000"/>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045" w:type="dxa"/>
                  <w:vAlign w:val="center"/>
                </w:tcPr>
                <w:p>
                  <w:pPr>
                    <w:pStyle w:val="78"/>
                    <w:spacing w:line="240" w:lineRule="auto"/>
                    <w:rPr>
                      <w:color w:val="000000"/>
                      <w:sz w:val="24"/>
                      <w:szCs w:val="24"/>
                    </w:rPr>
                  </w:pPr>
                  <w:r>
                    <w:rPr>
                      <w:color w:val="000000"/>
                      <w:sz w:val="24"/>
                      <w:szCs w:val="24"/>
                    </w:rPr>
                    <w:t>NO</w:t>
                  </w:r>
                  <w:r>
                    <w:rPr>
                      <w:color w:val="000000"/>
                      <w:sz w:val="24"/>
                      <w:szCs w:val="24"/>
                      <w:vertAlign w:val="subscript"/>
                    </w:rPr>
                    <w:t>2</w:t>
                  </w:r>
                </w:p>
              </w:tc>
              <w:tc>
                <w:tcPr>
                  <w:tcW w:w="3436" w:type="dxa"/>
                  <w:vAlign w:val="center"/>
                </w:tcPr>
                <w:p>
                  <w:pPr>
                    <w:pStyle w:val="78"/>
                    <w:spacing w:line="240" w:lineRule="auto"/>
                    <w:rPr>
                      <w:color w:val="000000"/>
                      <w:sz w:val="24"/>
                      <w:szCs w:val="24"/>
                    </w:rPr>
                  </w:pPr>
                  <w:r>
                    <w:rPr>
                      <w:color w:val="000000"/>
                      <w:sz w:val="24"/>
                      <w:szCs w:val="24"/>
                    </w:rPr>
                    <w:t>年平均质量浓度</w:t>
                  </w:r>
                </w:p>
              </w:tc>
              <w:tc>
                <w:tcPr>
                  <w:tcW w:w="1288" w:type="dxa"/>
                  <w:vAlign w:val="center"/>
                </w:tcPr>
                <w:p>
                  <w:pPr>
                    <w:pStyle w:val="78"/>
                    <w:spacing w:line="240" w:lineRule="auto"/>
                    <w:rPr>
                      <w:color w:val="000000"/>
                      <w:sz w:val="24"/>
                      <w:szCs w:val="24"/>
                    </w:rPr>
                  </w:pPr>
                  <w:r>
                    <w:rPr>
                      <w:color w:val="000000"/>
                      <w:sz w:val="24"/>
                      <w:szCs w:val="24"/>
                    </w:rPr>
                    <w:t>15</w:t>
                  </w:r>
                </w:p>
              </w:tc>
              <w:tc>
                <w:tcPr>
                  <w:tcW w:w="1145" w:type="dxa"/>
                  <w:vAlign w:val="center"/>
                </w:tcPr>
                <w:p>
                  <w:pPr>
                    <w:pStyle w:val="78"/>
                    <w:spacing w:line="240" w:lineRule="auto"/>
                    <w:rPr>
                      <w:color w:val="000000"/>
                      <w:sz w:val="24"/>
                      <w:szCs w:val="24"/>
                    </w:rPr>
                  </w:pPr>
                  <w:r>
                    <w:rPr>
                      <w:color w:val="000000"/>
                      <w:sz w:val="24"/>
                      <w:szCs w:val="24"/>
                    </w:rPr>
                    <w:t>40</w:t>
                  </w:r>
                </w:p>
              </w:tc>
              <w:tc>
                <w:tcPr>
                  <w:tcW w:w="859" w:type="dxa"/>
                  <w:vAlign w:val="center"/>
                </w:tcPr>
                <w:p>
                  <w:pPr>
                    <w:pStyle w:val="78"/>
                    <w:spacing w:line="240" w:lineRule="auto"/>
                    <w:rPr>
                      <w:color w:val="000000"/>
                      <w:sz w:val="24"/>
                      <w:szCs w:val="24"/>
                    </w:rPr>
                  </w:pPr>
                  <w:r>
                    <w:rPr>
                      <w:color w:val="000000"/>
                      <w:sz w:val="24"/>
                      <w:szCs w:val="24"/>
                    </w:rPr>
                    <w:t>40.0</w:t>
                  </w:r>
                </w:p>
              </w:tc>
              <w:tc>
                <w:tcPr>
                  <w:tcW w:w="1183" w:type="dxa"/>
                  <w:vAlign w:val="center"/>
                </w:tcPr>
                <w:p>
                  <w:pPr>
                    <w:pStyle w:val="78"/>
                    <w:spacing w:line="240" w:lineRule="auto"/>
                    <w:rPr>
                      <w:color w:val="000000"/>
                      <w:sz w:val="24"/>
                      <w:szCs w:val="24"/>
                    </w:rPr>
                  </w:pPr>
                  <w:r>
                    <w:rPr>
                      <w:color w:val="000000"/>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045" w:type="dxa"/>
                  <w:vAlign w:val="center"/>
                </w:tcPr>
                <w:p>
                  <w:pPr>
                    <w:pStyle w:val="78"/>
                    <w:spacing w:line="240" w:lineRule="auto"/>
                    <w:rPr>
                      <w:color w:val="000000"/>
                      <w:sz w:val="24"/>
                      <w:szCs w:val="24"/>
                    </w:rPr>
                  </w:pPr>
                  <w:r>
                    <w:rPr>
                      <w:color w:val="000000"/>
                      <w:sz w:val="24"/>
                      <w:szCs w:val="24"/>
                    </w:rPr>
                    <w:t>PM</w:t>
                  </w:r>
                  <w:r>
                    <w:rPr>
                      <w:color w:val="000000"/>
                      <w:sz w:val="24"/>
                      <w:szCs w:val="24"/>
                      <w:vertAlign w:val="subscript"/>
                    </w:rPr>
                    <w:t>10</w:t>
                  </w:r>
                </w:p>
              </w:tc>
              <w:tc>
                <w:tcPr>
                  <w:tcW w:w="3436" w:type="dxa"/>
                  <w:vAlign w:val="center"/>
                </w:tcPr>
                <w:p>
                  <w:pPr>
                    <w:pStyle w:val="78"/>
                    <w:spacing w:line="240" w:lineRule="auto"/>
                    <w:rPr>
                      <w:color w:val="000000"/>
                      <w:sz w:val="24"/>
                      <w:szCs w:val="24"/>
                    </w:rPr>
                  </w:pPr>
                  <w:r>
                    <w:rPr>
                      <w:color w:val="000000"/>
                      <w:sz w:val="24"/>
                      <w:szCs w:val="24"/>
                    </w:rPr>
                    <w:t>年平均质量浓度</w:t>
                  </w:r>
                </w:p>
              </w:tc>
              <w:tc>
                <w:tcPr>
                  <w:tcW w:w="1288" w:type="dxa"/>
                  <w:vAlign w:val="center"/>
                </w:tcPr>
                <w:p>
                  <w:pPr>
                    <w:pStyle w:val="78"/>
                    <w:spacing w:line="240" w:lineRule="auto"/>
                    <w:rPr>
                      <w:color w:val="000000"/>
                      <w:sz w:val="24"/>
                      <w:szCs w:val="24"/>
                    </w:rPr>
                  </w:pPr>
                  <w:r>
                    <w:rPr>
                      <w:color w:val="000000"/>
                      <w:sz w:val="24"/>
                      <w:szCs w:val="24"/>
                    </w:rPr>
                    <w:t>38</w:t>
                  </w:r>
                </w:p>
              </w:tc>
              <w:tc>
                <w:tcPr>
                  <w:tcW w:w="1145" w:type="dxa"/>
                  <w:vAlign w:val="center"/>
                </w:tcPr>
                <w:p>
                  <w:pPr>
                    <w:pStyle w:val="78"/>
                    <w:spacing w:line="240" w:lineRule="auto"/>
                    <w:rPr>
                      <w:color w:val="000000"/>
                      <w:sz w:val="24"/>
                      <w:szCs w:val="24"/>
                    </w:rPr>
                  </w:pPr>
                  <w:r>
                    <w:rPr>
                      <w:color w:val="000000"/>
                      <w:sz w:val="24"/>
                      <w:szCs w:val="24"/>
                    </w:rPr>
                    <w:t>70</w:t>
                  </w:r>
                </w:p>
              </w:tc>
              <w:tc>
                <w:tcPr>
                  <w:tcW w:w="859" w:type="dxa"/>
                  <w:vAlign w:val="center"/>
                </w:tcPr>
                <w:p>
                  <w:pPr>
                    <w:pStyle w:val="78"/>
                    <w:spacing w:line="240" w:lineRule="auto"/>
                    <w:rPr>
                      <w:color w:val="000000"/>
                      <w:sz w:val="24"/>
                      <w:szCs w:val="24"/>
                    </w:rPr>
                  </w:pPr>
                  <w:r>
                    <w:rPr>
                      <w:color w:val="000000"/>
                      <w:sz w:val="24"/>
                      <w:szCs w:val="24"/>
                    </w:rPr>
                    <w:t>61.4</w:t>
                  </w:r>
                </w:p>
              </w:tc>
              <w:tc>
                <w:tcPr>
                  <w:tcW w:w="1183" w:type="dxa"/>
                  <w:vAlign w:val="center"/>
                </w:tcPr>
                <w:p>
                  <w:pPr>
                    <w:pStyle w:val="78"/>
                    <w:spacing w:line="240" w:lineRule="auto"/>
                    <w:rPr>
                      <w:color w:val="000000"/>
                      <w:sz w:val="24"/>
                      <w:szCs w:val="24"/>
                    </w:rPr>
                  </w:pPr>
                  <w:r>
                    <w:rPr>
                      <w:color w:val="000000"/>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045" w:type="dxa"/>
                  <w:vAlign w:val="center"/>
                </w:tcPr>
                <w:p>
                  <w:pPr>
                    <w:pStyle w:val="78"/>
                    <w:spacing w:line="240" w:lineRule="auto"/>
                    <w:rPr>
                      <w:color w:val="000000"/>
                      <w:sz w:val="24"/>
                      <w:szCs w:val="24"/>
                    </w:rPr>
                  </w:pPr>
                  <w:r>
                    <w:rPr>
                      <w:color w:val="000000"/>
                      <w:sz w:val="24"/>
                      <w:szCs w:val="24"/>
                    </w:rPr>
                    <w:t>PM</w:t>
                  </w:r>
                  <w:r>
                    <w:rPr>
                      <w:color w:val="000000"/>
                      <w:sz w:val="24"/>
                      <w:szCs w:val="24"/>
                      <w:vertAlign w:val="subscript"/>
                    </w:rPr>
                    <w:t>2.5</w:t>
                  </w:r>
                </w:p>
              </w:tc>
              <w:tc>
                <w:tcPr>
                  <w:tcW w:w="3436" w:type="dxa"/>
                  <w:vAlign w:val="center"/>
                </w:tcPr>
                <w:p>
                  <w:pPr>
                    <w:pStyle w:val="78"/>
                    <w:spacing w:line="240" w:lineRule="auto"/>
                    <w:rPr>
                      <w:color w:val="000000"/>
                      <w:sz w:val="24"/>
                      <w:szCs w:val="24"/>
                    </w:rPr>
                  </w:pPr>
                  <w:r>
                    <w:rPr>
                      <w:color w:val="000000"/>
                      <w:sz w:val="24"/>
                      <w:szCs w:val="24"/>
                    </w:rPr>
                    <w:t>年平均质量浓度</w:t>
                  </w:r>
                </w:p>
              </w:tc>
              <w:tc>
                <w:tcPr>
                  <w:tcW w:w="1288" w:type="dxa"/>
                  <w:vAlign w:val="center"/>
                </w:tcPr>
                <w:p>
                  <w:pPr>
                    <w:pStyle w:val="78"/>
                    <w:spacing w:line="240" w:lineRule="auto"/>
                    <w:rPr>
                      <w:color w:val="000000"/>
                      <w:sz w:val="24"/>
                      <w:szCs w:val="24"/>
                    </w:rPr>
                  </w:pPr>
                  <w:r>
                    <w:rPr>
                      <w:color w:val="000000"/>
                      <w:sz w:val="24"/>
                      <w:szCs w:val="24"/>
                    </w:rPr>
                    <w:t>25</w:t>
                  </w:r>
                </w:p>
              </w:tc>
              <w:tc>
                <w:tcPr>
                  <w:tcW w:w="1145" w:type="dxa"/>
                  <w:vAlign w:val="center"/>
                </w:tcPr>
                <w:p>
                  <w:pPr>
                    <w:pStyle w:val="78"/>
                    <w:spacing w:line="240" w:lineRule="auto"/>
                    <w:rPr>
                      <w:color w:val="000000"/>
                      <w:sz w:val="24"/>
                      <w:szCs w:val="24"/>
                    </w:rPr>
                  </w:pPr>
                  <w:r>
                    <w:rPr>
                      <w:color w:val="000000"/>
                      <w:sz w:val="24"/>
                      <w:szCs w:val="24"/>
                    </w:rPr>
                    <w:t>35</w:t>
                  </w:r>
                </w:p>
              </w:tc>
              <w:tc>
                <w:tcPr>
                  <w:tcW w:w="859" w:type="dxa"/>
                  <w:vAlign w:val="center"/>
                </w:tcPr>
                <w:p>
                  <w:pPr>
                    <w:pStyle w:val="78"/>
                    <w:spacing w:line="240" w:lineRule="auto"/>
                    <w:rPr>
                      <w:color w:val="000000"/>
                      <w:sz w:val="24"/>
                      <w:szCs w:val="24"/>
                    </w:rPr>
                  </w:pPr>
                  <w:r>
                    <w:rPr>
                      <w:color w:val="000000"/>
                      <w:sz w:val="24"/>
                      <w:szCs w:val="24"/>
                    </w:rPr>
                    <w:t>85.7</w:t>
                  </w:r>
                </w:p>
              </w:tc>
              <w:tc>
                <w:tcPr>
                  <w:tcW w:w="1183" w:type="dxa"/>
                  <w:vAlign w:val="center"/>
                </w:tcPr>
                <w:p>
                  <w:pPr>
                    <w:pStyle w:val="78"/>
                    <w:spacing w:line="240" w:lineRule="auto"/>
                    <w:rPr>
                      <w:color w:val="000000"/>
                      <w:sz w:val="24"/>
                      <w:szCs w:val="24"/>
                    </w:rPr>
                  </w:pPr>
                  <w:r>
                    <w:rPr>
                      <w:color w:val="000000"/>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045" w:type="dxa"/>
                  <w:vAlign w:val="center"/>
                </w:tcPr>
                <w:p>
                  <w:pPr>
                    <w:pStyle w:val="78"/>
                    <w:spacing w:line="240" w:lineRule="auto"/>
                    <w:rPr>
                      <w:color w:val="000000"/>
                      <w:sz w:val="24"/>
                      <w:szCs w:val="24"/>
                    </w:rPr>
                  </w:pPr>
                  <w:r>
                    <w:rPr>
                      <w:color w:val="000000"/>
                      <w:sz w:val="24"/>
                      <w:szCs w:val="24"/>
                    </w:rPr>
                    <w:t>CO</w:t>
                  </w:r>
                </w:p>
              </w:tc>
              <w:tc>
                <w:tcPr>
                  <w:tcW w:w="3436" w:type="dxa"/>
                  <w:vAlign w:val="center"/>
                </w:tcPr>
                <w:p>
                  <w:pPr>
                    <w:pStyle w:val="78"/>
                    <w:spacing w:line="240" w:lineRule="auto"/>
                    <w:rPr>
                      <w:color w:val="000000"/>
                      <w:sz w:val="24"/>
                      <w:szCs w:val="24"/>
                    </w:rPr>
                  </w:pPr>
                  <w:r>
                    <w:rPr>
                      <w:color w:val="000000"/>
                      <w:sz w:val="24"/>
                      <w:szCs w:val="24"/>
                    </w:rPr>
                    <w:t>第95百分位数日平均浓度</w:t>
                  </w:r>
                </w:p>
              </w:tc>
              <w:tc>
                <w:tcPr>
                  <w:tcW w:w="1288" w:type="dxa"/>
                  <w:vAlign w:val="center"/>
                </w:tcPr>
                <w:p>
                  <w:pPr>
                    <w:pStyle w:val="78"/>
                    <w:spacing w:line="240" w:lineRule="auto"/>
                    <w:rPr>
                      <w:color w:val="000000"/>
                      <w:sz w:val="24"/>
                      <w:szCs w:val="24"/>
                    </w:rPr>
                  </w:pPr>
                  <w:r>
                    <w:rPr>
                      <w:color w:val="000000"/>
                      <w:sz w:val="24"/>
                      <w:szCs w:val="24"/>
                    </w:rPr>
                    <w:t>1.0</w:t>
                  </w:r>
                </w:p>
              </w:tc>
              <w:tc>
                <w:tcPr>
                  <w:tcW w:w="1145" w:type="dxa"/>
                  <w:vAlign w:val="center"/>
                </w:tcPr>
                <w:p>
                  <w:pPr>
                    <w:pStyle w:val="78"/>
                    <w:spacing w:line="240" w:lineRule="auto"/>
                    <w:rPr>
                      <w:color w:val="000000"/>
                      <w:sz w:val="24"/>
                      <w:szCs w:val="24"/>
                    </w:rPr>
                  </w:pPr>
                  <w:r>
                    <w:rPr>
                      <w:color w:val="000000"/>
                      <w:sz w:val="24"/>
                      <w:szCs w:val="24"/>
                    </w:rPr>
                    <w:t>4</w:t>
                  </w:r>
                </w:p>
              </w:tc>
              <w:tc>
                <w:tcPr>
                  <w:tcW w:w="859" w:type="dxa"/>
                  <w:vAlign w:val="center"/>
                </w:tcPr>
                <w:p>
                  <w:pPr>
                    <w:pStyle w:val="78"/>
                    <w:spacing w:line="240" w:lineRule="auto"/>
                    <w:rPr>
                      <w:color w:val="000000"/>
                      <w:sz w:val="24"/>
                      <w:szCs w:val="24"/>
                    </w:rPr>
                  </w:pPr>
                  <w:r>
                    <w:rPr>
                      <w:color w:val="000000"/>
                      <w:sz w:val="24"/>
                      <w:szCs w:val="24"/>
                    </w:rPr>
                    <w:t>35.0</w:t>
                  </w:r>
                </w:p>
              </w:tc>
              <w:tc>
                <w:tcPr>
                  <w:tcW w:w="1183" w:type="dxa"/>
                  <w:vAlign w:val="center"/>
                </w:tcPr>
                <w:p>
                  <w:pPr>
                    <w:pStyle w:val="78"/>
                    <w:spacing w:line="240" w:lineRule="auto"/>
                    <w:rPr>
                      <w:color w:val="000000"/>
                      <w:sz w:val="24"/>
                      <w:szCs w:val="24"/>
                    </w:rPr>
                  </w:pPr>
                  <w:r>
                    <w:rPr>
                      <w:color w:val="000000"/>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045" w:type="dxa"/>
                  <w:vAlign w:val="center"/>
                </w:tcPr>
                <w:p>
                  <w:pPr>
                    <w:pStyle w:val="78"/>
                    <w:spacing w:line="240" w:lineRule="auto"/>
                    <w:rPr>
                      <w:color w:val="000000"/>
                      <w:sz w:val="24"/>
                      <w:szCs w:val="24"/>
                    </w:rPr>
                  </w:pPr>
                  <w:r>
                    <w:rPr>
                      <w:color w:val="000000"/>
                      <w:sz w:val="24"/>
                      <w:szCs w:val="24"/>
                    </w:rPr>
                    <w:t>O</w:t>
                  </w:r>
                  <w:r>
                    <w:rPr>
                      <w:color w:val="000000"/>
                      <w:sz w:val="24"/>
                      <w:szCs w:val="24"/>
                      <w:vertAlign w:val="subscript"/>
                    </w:rPr>
                    <w:t>3</w:t>
                  </w:r>
                </w:p>
              </w:tc>
              <w:tc>
                <w:tcPr>
                  <w:tcW w:w="3436" w:type="dxa"/>
                  <w:vAlign w:val="center"/>
                </w:tcPr>
                <w:p>
                  <w:pPr>
                    <w:pStyle w:val="78"/>
                    <w:spacing w:line="240" w:lineRule="auto"/>
                    <w:rPr>
                      <w:color w:val="000000"/>
                      <w:sz w:val="24"/>
                      <w:szCs w:val="24"/>
                    </w:rPr>
                  </w:pPr>
                  <w:r>
                    <w:rPr>
                      <w:color w:val="000000"/>
                      <w:sz w:val="24"/>
                      <w:szCs w:val="24"/>
                    </w:rPr>
                    <w:t>第90百分位数日最大8h平均浓度</w:t>
                  </w:r>
                </w:p>
              </w:tc>
              <w:tc>
                <w:tcPr>
                  <w:tcW w:w="1288" w:type="dxa"/>
                  <w:vAlign w:val="center"/>
                </w:tcPr>
                <w:p>
                  <w:pPr>
                    <w:pStyle w:val="78"/>
                    <w:spacing w:line="240" w:lineRule="auto"/>
                    <w:rPr>
                      <w:color w:val="000000"/>
                      <w:sz w:val="24"/>
                      <w:szCs w:val="24"/>
                    </w:rPr>
                  </w:pPr>
                  <w:r>
                    <w:rPr>
                      <w:color w:val="000000"/>
                      <w:sz w:val="24"/>
                      <w:szCs w:val="24"/>
                    </w:rPr>
                    <w:t>124</w:t>
                  </w:r>
                </w:p>
              </w:tc>
              <w:tc>
                <w:tcPr>
                  <w:tcW w:w="1145" w:type="dxa"/>
                  <w:vAlign w:val="center"/>
                </w:tcPr>
                <w:p>
                  <w:pPr>
                    <w:pStyle w:val="78"/>
                    <w:spacing w:line="240" w:lineRule="auto"/>
                    <w:rPr>
                      <w:color w:val="000000"/>
                      <w:sz w:val="24"/>
                      <w:szCs w:val="24"/>
                    </w:rPr>
                  </w:pPr>
                  <w:r>
                    <w:rPr>
                      <w:color w:val="000000"/>
                      <w:sz w:val="24"/>
                      <w:szCs w:val="24"/>
                    </w:rPr>
                    <w:t>160</w:t>
                  </w:r>
                </w:p>
              </w:tc>
              <w:tc>
                <w:tcPr>
                  <w:tcW w:w="859" w:type="dxa"/>
                  <w:vAlign w:val="center"/>
                </w:tcPr>
                <w:p>
                  <w:pPr>
                    <w:pStyle w:val="78"/>
                    <w:spacing w:line="240" w:lineRule="auto"/>
                    <w:rPr>
                      <w:color w:val="000000"/>
                      <w:sz w:val="24"/>
                      <w:szCs w:val="24"/>
                    </w:rPr>
                  </w:pPr>
                  <w:r>
                    <w:rPr>
                      <w:color w:val="000000"/>
                      <w:sz w:val="24"/>
                      <w:szCs w:val="24"/>
                    </w:rPr>
                    <w:t>71.3</w:t>
                  </w:r>
                </w:p>
              </w:tc>
              <w:tc>
                <w:tcPr>
                  <w:tcW w:w="1183" w:type="dxa"/>
                  <w:vAlign w:val="center"/>
                </w:tcPr>
                <w:p>
                  <w:pPr>
                    <w:pStyle w:val="78"/>
                    <w:spacing w:line="240" w:lineRule="auto"/>
                    <w:rPr>
                      <w:color w:val="000000"/>
                      <w:sz w:val="24"/>
                      <w:szCs w:val="24"/>
                    </w:rPr>
                  </w:pPr>
                  <w:r>
                    <w:rPr>
                      <w:color w:val="000000"/>
                      <w:sz w:val="24"/>
                      <w:szCs w:val="24"/>
                    </w:rPr>
                    <w:t>达标</w:t>
                  </w:r>
                </w:p>
              </w:tc>
            </w:tr>
          </w:tbl>
          <w:p>
            <w:pPr>
              <w:ind w:firstLine="480"/>
              <w:rPr>
                <w:color w:val="000000"/>
                <w:sz w:val="30"/>
                <w:szCs w:val="30"/>
                <w:lang w:val="zh-CN"/>
              </w:rPr>
            </w:pPr>
          </w:p>
          <w:p>
            <w:pPr>
              <w:spacing w:line="360" w:lineRule="auto"/>
              <w:ind w:firstLine="480"/>
              <w:rPr>
                <w:color w:val="000000"/>
                <w:sz w:val="24"/>
                <w:szCs w:val="24"/>
                <w:lang w:val="zh-CN"/>
              </w:rPr>
            </w:pPr>
            <w:r>
              <w:rPr>
                <w:color w:val="000000"/>
                <w:sz w:val="24"/>
                <w:szCs w:val="24"/>
                <w:lang w:val="zh-CN"/>
              </w:rPr>
              <w:t>由</w:t>
            </w:r>
            <w:r>
              <w:rPr>
                <w:rFonts w:hint="eastAsia"/>
                <w:color w:val="000000"/>
                <w:sz w:val="24"/>
                <w:szCs w:val="24"/>
              </w:rPr>
              <w:t>表3-1</w:t>
            </w:r>
            <w:r>
              <w:rPr>
                <w:color w:val="000000"/>
                <w:sz w:val="24"/>
                <w:szCs w:val="24"/>
                <w:lang w:val="zh-CN"/>
              </w:rPr>
              <w:t>可知，</w:t>
            </w:r>
            <w:r>
              <w:rPr>
                <w:color w:val="000000"/>
                <w:sz w:val="24"/>
                <w:szCs w:val="24"/>
              </w:rPr>
              <w:t>20</w:t>
            </w:r>
            <w:r>
              <w:rPr>
                <w:rFonts w:hint="eastAsia"/>
                <w:color w:val="000000"/>
                <w:sz w:val="24"/>
                <w:szCs w:val="24"/>
              </w:rPr>
              <w:t>20</w:t>
            </w:r>
            <w:r>
              <w:rPr>
                <w:color w:val="000000"/>
                <w:sz w:val="24"/>
                <w:szCs w:val="24"/>
              </w:rPr>
              <w:t>年</w:t>
            </w:r>
            <w:r>
              <w:rPr>
                <w:rFonts w:hint="eastAsia"/>
                <w:color w:val="000000"/>
                <w:sz w:val="24"/>
                <w:szCs w:val="24"/>
                <w:lang w:val="zh-CN"/>
              </w:rPr>
              <w:t>连州市</w:t>
            </w:r>
            <w:r>
              <w:rPr>
                <w:color w:val="000000"/>
                <w:sz w:val="24"/>
                <w:szCs w:val="24"/>
                <w:lang w:val="zh-CN"/>
              </w:rPr>
              <w:t>SO</w:t>
            </w:r>
            <w:r>
              <w:rPr>
                <w:color w:val="000000"/>
                <w:sz w:val="24"/>
                <w:szCs w:val="24"/>
                <w:vertAlign w:val="subscript"/>
                <w:lang w:val="zh-CN"/>
              </w:rPr>
              <w:t>2</w:t>
            </w:r>
            <w:r>
              <w:rPr>
                <w:color w:val="000000"/>
                <w:sz w:val="24"/>
                <w:szCs w:val="24"/>
                <w:lang w:val="zh-CN"/>
              </w:rPr>
              <w:t>、NO</w:t>
            </w:r>
            <w:r>
              <w:rPr>
                <w:color w:val="000000"/>
                <w:sz w:val="24"/>
                <w:szCs w:val="24"/>
                <w:vertAlign w:val="subscript"/>
                <w:lang w:val="zh-CN"/>
              </w:rPr>
              <w:t>2</w:t>
            </w:r>
            <w:r>
              <w:rPr>
                <w:rFonts w:hint="eastAsia"/>
                <w:color w:val="000000"/>
                <w:sz w:val="24"/>
                <w:szCs w:val="24"/>
                <w:lang w:val="zh-CN"/>
              </w:rPr>
              <w:t>、</w:t>
            </w:r>
            <w:r>
              <w:rPr>
                <w:color w:val="000000"/>
                <w:sz w:val="24"/>
                <w:szCs w:val="24"/>
                <w:lang w:val="zh-CN"/>
              </w:rPr>
              <w:t>PM</w:t>
            </w:r>
            <w:r>
              <w:rPr>
                <w:color w:val="000000"/>
                <w:sz w:val="24"/>
                <w:szCs w:val="24"/>
                <w:vertAlign w:val="subscript"/>
                <w:lang w:val="zh-CN"/>
              </w:rPr>
              <w:t>10</w:t>
            </w:r>
            <w:r>
              <w:rPr>
                <w:color w:val="000000"/>
                <w:sz w:val="24"/>
                <w:szCs w:val="24"/>
                <w:lang w:val="zh-CN"/>
              </w:rPr>
              <w:t>、PM</w:t>
            </w:r>
            <w:r>
              <w:rPr>
                <w:color w:val="000000"/>
                <w:sz w:val="24"/>
                <w:szCs w:val="24"/>
                <w:vertAlign w:val="subscript"/>
                <w:lang w:val="zh-CN"/>
              </w:rPr>
              <w:t>2.5</w:t>
            </w:r>
            <w:r>
              <w:rPr>
                <w:color w:val="000000"/>
                <w:sz w:val="24"/>
                <w:szCs w:val="24"/>
                <w:lang w:val="zh-CN"/>
              </w:rPr>
              <w:t>的</w:t>
            </w:r>
            <w:r>
              <w:rPr>
                <w:color w:val="000000"/>
                <w:sz w:val="24"/>
                <w:szCs w:val="24"/>
              </w:rPr>
              <w:t>年平均质量浓度</w:t>
            </w:r>
            <w:r>
              <w:rPr>
                <w:rFonts w:hint="eastAsia"/>
                <w:color w:val="000000"/>
                <w:sz w:val="24"/>
                <w:szCs w:val="24"/>
                <w:lang w:val="zh-CN"/>
              </w:rPr>
              <w:t>，</w:t>
            </w:r>
            <w:r>
              <w:rPr>
                <w:color w:val="000000"/>
                <w:sz w:val="24"/>
                <w:szCs w:val="24"/>
                <w:lang w:val="zh-CN"/>
              </w:rPr>
              <w:t>CO的</w:t>
            </w:r>
            <w:r>
              <w:rPr>
                <w:color w:val="000000"/>
                <w:sz w:val="24"/>
                <w:szCs w:val="24"/>
              </w:rPr>
              <w:t>第95百分位数日平均浓度</w:t>
            </w:r>
            <w:r>
              <w:rPr>
                <w:rFonts w:hint="eastAsia"/>
                <w:color w:val="000000"/>
                <w:sz w:val="24"/>
                <w:szCs w:val="24"/>
                <w:lang w:val="zh-CN"/>
              </w:rPr>
              <w:t>、</w:t>
            </w:r>
            <w:r>
              <w:rPr>
                <w:color w:val="000000"/>
                <w:sz w:val="24"/>
                <w:szCs w:val="24"/>
                <w:lang w:val="zh-CN"/>
              </w:rPr>
              <w:t>O</w:t>
            </w:r>
            <w:r>
              <w:rPr>
                <w:color w:val="000000"/>
                <w:sz w:val="24"/>
                <w:szCs w:val="24"/>
                <w:vertAlign w:val="subscript"/>
                <w:lang w:val="zh-CN"/>
              </w:rPr>
              <w:t>3</w:t>
            </w:r>
            <w:r>
              <w:rPr>
                <w:color w:val="000000"/>
                <w:sz w:val="24"/>
                <w:szCs w:val="24"/>
                <w:lang w:val="zh-CN"/>
              </w:rPr>
              <w:t>的</w:t>
            </w:r>
            <w:r>
              <w:rPr>
                <w:color w:val="000000"/>
                <w:sz w:val="24"/>
                <w:szCs w:val="24"/>
              </w:rPr>
              <w:t>第90百分位数日最大8h平均浓度</w:t>
            </w:r>
            <w:r>
              <w:rPr>
                <w:rFonts w:hint="eastAsia"/>
                <w:color w:val="000000"/>
                <w:sz w:val="24"/>
                <w:szCs w:val="24"/>
                <w:lang w:val="zh-CN"/>
              </w:rPr>
              <w:t>均能达到</w:t>
            </w:r>
            <w:r>
              <w:rPr>
                <w:color w:val="000000"/>
                <w:sz w:val="24"/>
                <w:szCs w:val="24"/>
                <w:lang w:val="zh-CN"/>
              </w:rPr>
              <w:t>《环境空气质量标准》（GB3095-2012）及其修改单的二级标准</w:t>
            </w:r>
            <w:r>
              <w:rPr>
                <w:rFonts w:hint="eastAsia"/>
                <w:color w:val="000000"/>
                <w:sz w:val="24"/>
                <w:szCs w:val="24"/>
                <w:lang w:val="zh-CN"/>
              </w:rPr>
              <w:t>。</w:t>
            </w:r>
            <w:r>
              <w:rPr>
                <w:color w:val="000000"/>
                <w:sz w:val="24"/>
                <w:szCs w:val="24"/>
                <w:lang w:val="zh-CN"/>
              </w:rPr>
              <w:t>因此</w:t>
            </w:r>
            <w:r>
              <w:rPr>
                <w:rFonts w:hint="eastAsia"/>
                <w:color w:val="000000"/>
                <w:sz w:val="24"/>
                <w:szCs w:val="24"/>
                <w:lang w:val="zh-CN"/>
              </w:rPr>
              <w:t>，</w:t>
            </w:r>
            <w:r>
              <w:rPr>
                <w:color w:val="000000"/>
                <w:sz w:val="24"/>
                <w:szCs w:val="24"/>
                <w:lang w:val="zh-CN"/>
              </w:rPr>
              <w:t>扩建项目所在区域环境空气为达标区。</w:t>
            </w:r>
          </w:p>
          <w:p>
            <w:pPr>
              <w:numPr>
                <w:ilvl w:val="0"/>
                <w:numId w:val="5"/>
              </w:numPr>
              <w:spacing w:before="120" w:beforeLines="50" w:line="360" w:lineRule="auto"/>
              <w:ind w:firstLine="482" w:firstLineChars="200"/>
              <w:rPr>
                <w:b/>
                <w:color w:val="000000"/>
                <w:sz w:val="24"/>
              </w:rPr>
            </w:pPr>
            <w:r>
              <w:rPr>
                <w:rFonts w:hint="eastAsia"/>
                <w:b/>
                <w:color w:val="000000"/>
                <w:sz w:val="24"/>
              </w:rPr>
              <w:t>地表</w:t>
            </w:r>
            <w:r>
              <w:rPr>
                <w:b/>
                <w:color w:val="000000"/>
                <w:sz w:val="24"/>
              </w:rPr>
              <w:t>水环境质量现状</w:t>
            </w:r>
          </w:p>
          <w:p>
            <w:pPr>
              <w:spacing w:line="360" w:lineRule="auto"/>
              <w:ind w:firstLine="480"/>
              <w:rPr>
                <w:color w:val="000000"/>
                <w:sz w:val="24"/>
                <w:szCs w:val="24"/>
              </w:rPr>
            </w:pPr>
            <w:r>
              <w:rPr>
                <w:color w:val="000000"/>
                <w:sz w:val="24"/>
                <w:szCs w:val="24"/>
              </w:rPr>
              <w:t>扩建项目位于</w:t>
            </w:r>
            <w:r>
              <w:rPr>
                <w:rFonts w:hint="eastAsia" w:ascii="宋体" w:hAnsi="宋体" w:cs="宋体"/>
                <w:color w:val="000000"/>
                <w:sz w:val="24"/>
                <w:szCs w:val="24"/>
              </w:rPr>
              <w:t>连州市</w:t>
            </w:r>
            <w:r>
              <w:rPr>
                <w:rFonts w:hint="eastAsia" w:ascii="宋体" w:hAnsi="宋体"/>
                <w:sz w:val="24"/>
                <w:szCs w:val="24"/>
              </w:rPr>
              <w:t>连州镇三古滩村委会马公岭</w:t>
            </w:r>
            <w:r>
              <w:rPr>
                <w:color w:val="000000"/>
                <w:sz w:val="24"/>
                <w:szCs w:val="24"/>
              </w:rPr>
              <w:t>，附近水体主要为星子河。因建设项目运营后产生医疗废水、生活污水，均通过自建的污水处理站处理后通过市政管道排入连州市污水处理厂处理，因此该项目对地表水环境影响很小，故对该建设项目区域的地表水环境质量现状分析只附近水体星子河作数据分析，根据清远市生态环境局连州分局发布的连州市2020年四个季度</w:t>
            </w:r>
            <w:r>
              <w:rPr>
                <w:bCs/>
                <w:color w:val="000000"/>
                <w:sz w:val="24"/>
                <w:szCs w:val="24"/>
              </w:rPr>
              <w:t>水质状况</w:t>
            </w:r>
            <w:r>
              <w:rPr>
                <w:color w:val="000000"/>
                <w:sz w:val="24"/>
                <w:szCs w:val="24"/>
              </w:rPr>
              <w:t>的监测结果，星子河（城北桥断面）在2020年的四个季度水质均能够达到《地表水环境质量标准（GB3838-2002）》II类的标准。</w:t>
            </w:r>
          </w:p>
          <w:p>
            <w:pPr>
              <w:spacing w:before="120" w:beforeLines="50" w:line="360" w:lineRule="auto"/>
              <w:ind w:firstLine="482" w:firstLineChars="200"/>
              <w:rPr>
                <w:b/>
                <w:color w:val="000000"/>
                <w:sz w:val="24"/>
              </w:rPr>
            </w:pPr>
            <w:r>
              <w:rPr>
                <w:b/>
                <w:color w:val="000000"/>
                <w:sz w:val="24"/>
              </w:rPr>
              <w:t>3、声环境质量现状</w:t>
            </w:r>
          </w:p>
          <w:p>
            <w:pPr>
              <w:spacing w:line="360" w:lineRule="auto"/>
              <w:ind w:firstLine="480" w:firstLineChars="200"/>
              <w:rPr>
                <w:color w:val="000000"/>
                <w:sz w:val="24"/>
              </w:rPr>
            </w:pPr>
            <w:r>
              <w:rPr>
                <w:rFonts w:hint="eastAsia"/>
                <w:color w:val="000000"/>
                <w:sz w:val="24"/>
              </w:rPr>
              <w:t>根据《连州市慢性病防治院外迁扩建项目环境影响报告书》，该扩建项目按《声环境质量标准》</w:t>
            </w:r>
            <w:r>
              <w:rPr>
                <w:color w:val="000000"/>
                <w:sz w:val="24"/>
              </w:rPr>
              <w:t>(GB3096-2008)</w:t>
            </w:r>
            <w:r>
              <w:rPr>
                <w:rFonts w:hint="eastAsia"/>
                <w:color w:val="000000"/>
                <w:sz w:val="24"/>
              </w:rPr>
              <w:t>中声环境区划的划分要求划定为</w:t>
            </w:r>
            <w:r>
              <w:rPr>
                <w:color w:val="000000"/>
                <w:sz w:val="24"/>
              </w:rPr>
              <w:t xml:space="preserve"> 2 </w:t>
            </w:r>
            <w:r>
              <w:rPr>
                <w:rFonts w:hint="eastAsia"/>
                <w:color w:val="000000"/>
                <w:sz w:val="24"/>
              </w:rPr>
              <w:t>类声环境功能区，执行《声环境质量标准》</w:t>
            </w:r>
            <w:r>
              <w:rPr>
                <w:color w:val="000000"/>
                <w:sz w:val="24"/>
              </w:rPr>
              <w:t>(GB3096-2008)</w:t>
            </w:r>
            <w:r>
              <w:rPr>
                <w:rFonts w:hint="eastAsia"/>
                <w:color w:val="000000"/>
                <w:sz w:val="24"/>
              </w:rPr>
              <w:t>中的</w:t>
            </w:r>
            <w:r>
              <w:rPr>
                <w:color w:val="000000"/>
                <w:sz w:val="24"/>
              </w:rPr>
              <w:t xml:space="preserve"> 2 </w:t>
            </w:r>
            <w:r>
              <w:rPr>
                <w:rFonts w:hint="eastAsia"/>
                <w:color w:val="000000"/>
                <w:sz w:val="24"/>
              </w:rPr>
              <w:t>类环境噪声限值。</w:t>
            </w:r>
            <w:r>
              <w:rPr>
                <w:color w:val="000000"/>
                <w:sz w:val="24"/>
              </w:rPr>
              <w:t xml:space="preserve"> </w:t>
            </w:r>
          </w:p>
          <w:p>
            <w:pPr>
              <w:spacing w:line="360" w:lineRule="auto"/>
              <w:ind w:firstLine="480" w:firstLineChars="200"/>
              <w:rPr>
                <w:color w:val="000000"/>
                <w:sz w:val="24"/>
              </w:rPr>
            </w:pPr>
            <w:r>
              <w:rPr>
                <w:color w:val="000000"/>
                <w:sz w:val="24"/>
              </w:rPr>
              <w:t>根据《建设项目环境影响报告表编制技术指南》，厂界外周边50米范围内存在声环境保护目标的建设项目，应监测保护目标声环境现状并评价达标情况。该</w:t>
            </w:r>
            <w:r>
              <w:rPr>
                <w:rFonts w:hint="eastAsia"/>
                <w:color w:val="000000"/>
                <w:sz w:val="24"/>
              </w:rPr>
              <w:t>扩建</w:t>
            </w:r>
            <w:r>
              <w:rPr>
                <w:color w:val="000000"/>
                <w:sz w:val="24"/>
              </w:rPr>
              <w:t>项目厂界外周边50米范围内</w:t>
            </w:r>
            <w:r>
              <w:rPr>
                <w:rFonts w:hint="eastAsia"/>
                <w:color w:val="000000"/>
                <w:sz w:val="24"/>
              </w:rPr>
              <w:t>，据现场勘查</w:t>
            </w:r>
            <w:r>
              <w:rPr>
                <w:color w:val="000000"/>
                <w:sz w:val="24"/>
              </w:rPr>
              <w:t>不存在声环境保护目标，</w:t>
            </w:r>
            <w:r>
              <w:rPr>
                <w:rFonts w:hint="eastAsia"/>
                <w:color w:val="000000"/>
                <w:sz w:val="24"/>
              </w:rPr>
              <w:t>因此</w:t>
            </w:r>
            <w:r>
              <w:rPr>
                <w:color w:val="000000"/>
                <w:sz w:val="24"/>
              </w:rPr>
              <w:t>不监测声环境质量现状。</w:t>
            </w:r>
          </w:p>
          <w:p>
            <w:pPr>
              <w:spacing w:before="120" w:beforeLines="50" w:line="360" w:lineRule="auto"/>
              <w:ind w:firstLine="482" w:firstLineChars="200"/>
              <w:rPr>
                <w:b/>
                <w:color w:val="000000"/>
                <w:sz w:val="24"/>
              </w:rPr>
            </w:pPr>
            <w:r>
              <w:rPr>
                <w:rFonts w:hint="eastAsia"/>
                <w:b/>
                <w:color w:val="000000"/>
                <w:sz w:val="24"/>
              </w:rPr>
              <w:t>4、地下水、土壤环</w:t>
            </w:r>
            <w:r>
              <w:rPr>
                <w:b/>
                <w:color w:val="000000"/>
                <w:sz w:val="24"/>
              </w:rPr>
              <w:t>境质量现状</w:t>
            </w:r>
          </w:p>
          <w:p>
            <w:pPr>
              <w:pStyle w:val="15"/>
              <w:spacing w:line="360" w:lineRule="auto"/>
              <w:ind w:firstLine="480" w:firstLineChars="200"/>
              <w:rPr>
                <w:color w:val="000000"/>
              </w:rPr>
            </w:pPr>
            <w:r>
              <w:rPr>
                <w:rFonts w:eastAsia="宋体"/>
                <w:color w:val="000000"/>
                <w:sz w:val="24"/>
              </w:rPr>
              <w:t>根据《建设项目环境影响报告表编制技术指南》，</w:t>
            </w:r>
            <w:r>
              <w:rPr>
                <w:rFonts w:hint="eastAsia" w:eastAsia="宋体"/>
                <w:color w:val="000000"/>
                <w:sz w:val="24"/>
              </w:rPr>
              <w:t>该扩建</w:t>
            </w:r>
            <w:r>
              <w:rPr>
                <w:rFonts w:eastAsia="宋体"/>
                <w:color w:val="000000"/>
                <w:sz w:val="24"/>
              </w:rPr>
              <w:t>项目</w:t>
            </w:r>
            <w:r>
              <w:rPr>
                <w:rFonts w:hint="eastAsia" w:eastAsia="宋体"/>
                <w:color w:val="000000"/>
                <w:sz w:val="24"/>
              </w:rPr>
              <w:t>不涉及</w:t>
            </w:r>
            <w:r>
              <w:rPr>
                <w:rFonts w:eastAsia="宋体"/>
                <w:color w:val="000000"/>
                <w:sz w:val="24"/>
              </w:rPr>
              <w:t>土壤、地下水环境污染</w:t>
            </w:r>
            <w:r>
              <w:rPr>
                <w:rFonts w:hint="eastAsia" w:eastAsia="宋体"/>
                <w:color w:val="000000"/>
                <w:sz w:val="24"/>
              </w:rPr>
              <w:t>的</w:t>
            </w:r>
            <w:r>
              <w:rPr>
                <w:rFonts w:eastAsia="宋体"/>
                <w:color w:val="000000"/>
                <w:sz w:val="24"/>
              </w:rPr>
              <w:t>途径，</w:t>
            </w:r>
            <w:r>
              <w:rPr>
                <w:rFonts w:hint="eastAsia" w:eastAsia="宋体"/>
                <w:color w:val="000000"/>
                <w:sz w:val="24"/>
              </w:rPr>
              <w:t>因此不</w:t>
            </w:r>
            <w:r>
              <w:rPr>
                <w:rFonts w:eastAsia="宋体"/>
                <w:color w:val="000000"/>
                <w:sz w:val="24"/>
              </w:rPr>
              <w:t>开展</w:t>
            </w:r>
            <w:r>
              <w:rPr>
                <w:rFonts w:hint="eastAsia" w:eastAsia="宋体"/>
                <w:color w:val="000000"/>
                <w:sz w:val="24"/>
              </w:rPr>
              <w:t>地下水、土壤环境质量</w:t>
            </w:r>
            <w:r>
              <w:rPr>
                <w:rFonts w:eastAsia="宋体"/>
                <w:color w:val="000000"/>
                <w:sz w:val="24"/>
              </w:rPr>
              <w:t>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386" w:type="dxa"/>
            <w:vAlign w:val="center"/>
          </w:tcPr>
          <w:p>
            <w:pPr>
              <w:adjustRightInd w:val="0"/>
              <w:snapToGrid w:val="0"/>
              <w:jc w:val="center"/>
              <w:rPr>
                <w:color w:val="000000"/>
                <w:kern w:val="0"/>
              </w:rPr>
            </w:pPr>
            <w:r>
              <w:rPr>
                <w:color w:val="000000"/>
                <w:kern w:val="0"/>
              </w:rPr>
              <w:t>环境</w:t>
            </w:r>
          </w:p>
          <w:p>
            <w:pPr>
              <w:adjustRightInd w:val="0"/>
              <w:snapToGrid w:val="0"/>
              <w:jc w:val="center"/>
              <w:rPr>
                <w:color w:val="000000"/>
                <w:kern w:val="0"/>
              </w:rPr>
            </w:pPr>
            <w:r>
              <w:rPr>
                <w:color w:val="000000"/>
                <w:kern w:val="0"/>
              </w:rPr>
              <w:t>保护</w:t>
            </w:r>
          </w:p>
          <w:p>
            <w:pPr>
              <w:adjustRightInd w:val="0"/>
              <w:snapToGrid w:val="0"/>
              <w:jc w:val="center"/>
              <w:rPr>
                <w:color w:val="000000"/>
                <w:kern w:val="0"/>
              </w:rPr>
            </w:pPr>
            <w:r>
              <w:rPr>
                <w:color w:val="000000"/>
                <w:kern w:val="0"/>
              </w:rPr>
              <w:t>目标</w:t>
            </w:r>
          </w:p>
        </w:tc>
        <w:tc>
          <w:tcPr>
            <w:tcW w:w="8604" w:type="dxa"/>
            <w:vAlign w:val="center"/>
          </w:tcPr>
          <w:p>
            <w:pPr>
              <w:spacing w:before="240" w:beforeLines="100" w:line="360" w:lineRule="auto"/>
              <w:rPr>
                <w:b/>
                <w:color w:val="000000"/>
                <w:sz w:val="28"/>
              </w:rPr>
            </w:pPr>
            <w:r>
              <w:rPr>
                <w:b/>
                <w:color w:val="000000"/>
                <w:sz w:val="28"/>
              </w:rPr>
              <w:t>主要环境保护目标(列出名单及保护级别)：</w:t>
            </w:r>
          </w:p>
          <w:p>
            <w:pPr>
              <w:spacing w:line="360" w:lineRule="auto"/>
              <w:ind w:firstLine="480" w:firstLineChars="200"/>
              <w:rPr>
                <w:color w:val="000000"/>
                <w:sz w:val="24"/>
              </w:rPr>
            </w:pPr>
            <w:r>
              <w:rPr>
                <w:color w:val="000000"/>
                <w:sz w:val="24"/>
              </w:rPr>
              <w:t>1、环境空气：保护目标为建设区域周围空气环境质量，扩建项目所在地的环境空气质量标准保护级别为《环境空气质量标准》（GB3095-2012）的二级标准；</w:t>
            </w:r>
          </w:p>
          <w:p>
            <w:pPr>
              <w:spacing w:line="360" w:lineRule="auto"/>
              <w:ind w:firstLine="480" w:firstLineChars="200"/>
              <w:rPr>
                <w:color w:val="000000"/>
                <w:sz w:val="24"/>
              </w:rPr>
            </w:pPr>
            <w:r>
              <w:rPr>
                <w:color w:val="000000"/>
                <w:sz w:val="24"/>
              </w:rPr>
              <w:t>2、地表水环境：</w:t>
            </w:r>
            <w:r>
              <w:rPr>
                <w:spacing w:val="-3"/>
                <w:sz w:val="24"/>
                <w:szCs w:val="24"/>
              </w:rPr>
              <w:t>连江</w:t>
            </w:r>
            <w:r>
              <w:rPr>
                <w:sz w:val="24"/>
                <w:szCs w:val="24"/>
              </w:rPr>
              <w:t>（连州三姊妹至连州市区段</w:t>
            </w:r>
            <w:r>
              <w:rPr>
                <w:spacing w:val="-120"/>
                <w:sz w:val="24"/>
                <w:szCs w:val="24"/>
              </w:rPr>
              <w:t>）</w:t>
            </w:r>
            <w:r>
              <w:rPr>
                <w:spacing w:val="-8"/>
                <w:sz w:val="24"/>
                <w:szCs w:val="24"/>
              </w:rPr>
              <w:t>，上游称星子水</w:t>
            </w:r>
            <w:r>
              <w:rPr>
                <w:sz w:val="24"/>
                <w:szCs w:val="24"/>
              </w:rPr>
              <w:t>（河</w:t>
            </w:r>
            <w:r>
              <w:rPr>
                <w:spacing w:val="-120"/>
                <w:sz w:val="24"/>
                <w:szCs w:val="24"/>
              </w:rPr>
              <w:t>）</w:t>
            </w:r>
            <w:r>
              <w:rPr>
                <w:spacing w:val="-7"/>
                <w:sz w:val="24"/>
                <w:szCs w:val="24"/>
              </w:rPr>
              <w:t>，</w:t>
            </w:r>
            <w:r>
              <w:rPr>
                <w:color w:val="000000"/>
                <w:sz w:val="24"/>
              </w:rPr>
              <w:t>水质应符合《地表水环境质量标准》（ GB3838-2002）</w:t>
            </w:r>
            <w:r>
              <w:rPr>
                <w:spacing w:val="-3"/>
                <w:sz w:val="24"/>
                <w:szCs w:val="24"/>
              </w:rPr>
              <w:t>Ⅱ</w:t>
            </w:r>
            <w:r>
              <w:rPr>
                <w:color w:val="000000"/>
                <w:sz w:val="24"/>
              </w:rPr>
              <w:t>类标准要求。</w:t>
            </w:r>
          </w:p>
          <w:p>
            <w:pPr>
              <w:spacing w:line="360" w:lineRule="auto"/>
              <w:ind w:firstLine="480" w:firstLineChars="200"/>
              <w:rPr>
                <w:color w:val="000000"/>
                <w:sz w:val="24"/>
              </w:rPr>
            </w:pPr>
            <w:r>
              <w:rPr>
                <w:color w:val="000000"/>
                <w:sz w:val="24"/>
              </w:rPr>
              <w:t>3</w:t>
            </w:r>
            <w:r>
              <w:rPr>
                <w:color w:val="000000"/>
                <w:sz w:val="24"/>
                <w:lang w:val="zh-CN"/>
              </w:rPr>
              <w:t>、</w:t>
            </w:r>
            <w:r>
              <w:rPr>
                <w:color w:val="000000"/>
                <w:sz w:val="24"/>
              </w:rPr>
              <w:t>声环境：项目区域的声环境质量保护级别为《声环境质量标准》（GB3096-2008）中的</w:t>
            </w:r>
            <w:r>
              <w:rPr>
                <w:rFonts w:hint="eastAsia"/>
                <w:color w:val="000000"/>
                <w:sz w:val="24"/>
              </w:rPr>
              <w:t>2</w:t>
            </w:r>
            <w:r>
              <w:rPr>
                <w:color w:val="000000"/>
                <w:sz w:val="24"/>
              </w:rPr>
              <w:t>类标准。</w:t>
            </w:r>
          </w:p>
          <w:p>
            <w:pPr>
              <w:spacing w:line="360" w:lineRule="auto"/>
              <w:ind w:firstLine="480" w:firstLineChars="200"/>
              <w:rPr>
                <w:color w:val="000000"/>
                <w:sz w:val="24"/>
              </w:rPr>
            </w:pPr>
            <w:r>
              <w:rPr>
                <w:color w:val="000000"/>
                <w:sz w:val="24"/>
              </w:rPr>
              <w:t>4、主要敏感点保护目标</w:t>
            </w:r>
          </w:p>
          <w:p>
            <w:pPr>
              <w:spacing w:line="360" w:lineRule="auto"/>
              <w:ind w:firstLine="480" w:firstLineChars="200"/>
              <w:rPr>
                <w:color w:val="000000"/>
                <w:sz w:val="24"/>
                <w:shd w:val="clear" w:color="auto" w:fill="FFFFFF"/>
              </w:rPr>
            </w:pPr>
            <w:r>
              <w:rPr>
                <w:color w:val="000000"/>
                <w:sz w:val="24"/>
                <w:shd w:val="clear" w:color="auto" w:fill="FFFFFF"/>
              </w:rPr>
              <w:t>根据《建设项目环境影响报告表编制技术指南（污染影响类）（试行）》环境保护目标：</w:t>
            </w:r>
          </w:p>
          <w:p>
            <w:pPr>
              <w:spacing w:line="360" w:lineRule="auto"/>
              <w:ind w:firstLine="480" w:firstLineChars="200"/>
              <w:rPr>
                <w:color w:val="000000"/>
                <w:sz w:val="24"/>
              </w:rPr>
            </w:pPr>
            <w:r>
              <w:rPr>
                <w:color w:val="000000"/>
                <w:sz w:val="24"/>
              </w:rPr>
              <w:t>大气环境。明确厂界外500米范围内的自然保护区、风景名胜区、居住区、文化区和农村地区中人群较集中的区域等保护目标的名称及与建设项目厂界位置关系。</w:t>
            </w:r>
          </w:p>
          <w:p>
            <w:pPr>
              <w:spacing w:line="360" w:lineRule="auto"/>
              <w:ind w:firstLine="480" w:firstLineChars="200"/>
              <w:rPr>
                <w:color w:val="000000"/>
                <w:sz w:val="24"/>
              </w:rPr>
            </w:pPr>
            <w:r>
              <w:rPr>
                <w:color w:val="000000"/>
                <w:sz w:val="24"/>
              </w:rPr>
              <w:t>扩建项目位于</w:t>
            </w:r>
            <w:r>
              <w:rPr>
                <w:rFonts w:hint="eastAsia" w:ascii="宋体" w:hAnsi="宋体" w:cs="宋体"/>
                <w:color w:val="000000"/>
                <w:sz w:val="24"/>
                <w:szCs w:val="24"/>
              </w:rPr>
              <w:t>连州市</w:t>
            </w:r>
            <w:r>
              <w:rPr>
                <w:rFonts w:hint="eastAsia" w:ascii="宋体" w:hAnsi="宋体"/>
                <w:sz w:val="24"/>
                <w:szCs w:val="24"/>
              </w:rPr>
              <w:t>连州镇三古滩村委会马公岭</w:t>
            </w:r>
            <w:r>
              <w:rPr>
                <w:color w:val="000000"/>
                <w:sz w:val="24"/>
              </w:rPr>
              <w:t>，经现场勘查，项目厂界外500米范围内不涉及自然保护区、风景名胜区、居住区、文化区和农村地区中人群较集中的区域。</w:t>
            </w:r>
          </w:p>
          <w:p>
            <w:pPr>
              <w:spacing w:line="360" w:lineRule="auto"/>
              <w:ind w:firstLine="480" w:firstLineChars="200"/>
              <w:rPr>
                <w:color w:val="000000"/>
                <w:sz w:val="24"/>
              </w:rPr>
            </w:pPr>
            <w:r>
              <w:rPr>
                <w:color w:val="000000"/>
                <w:sz w:val="24"/>
              </w:rPr>
              <w:t>声环境。明确厂界外50米范围内声环境保护目标。</w:t>
            </w:r>
          </w:p>
          <w:p>
            <w:pPr>
              <w:spacing w:line="360" w:lineRule="auto"/>
              <w:ind w:firstLine="480" w:firstLineChars="200"/>
              <w:rPr>
                <w:color w:val="000000"/>
                <w:sz w:val="24"/>
              </w:rPr>
            </w:pPr>
            <w:r>
              <w:rPr>
                <w:color w:val="000000"/>
                <w:sz w:val="24"/>
              </w:rPr>
              <w:t>经现场勘查，扩建项目厂界外50米范围内无声环境保护目标。</w:t>
            </w:r>
          </w:p>
          <w:p>
            <w:pPr>
              <w:spacing w:line="360" w:lineRule="auto"/>
              <w:ind w:firstLine="480" w:firstLineChars="200"/>
              <w:rPr>
                <w:color w:val="000000"/>
                <w:sz w:val="24"/>
              </w:rPr>
            </w:pPr>
            <w:r>
              <w:rPr>
                <w:color w:val="000000"/>
                <w:sz w:val="24"/>
              </w:rPr>
              <w:t>地下水环境。明确厂界外500米范围内的地下水集中式饮用水水源和热水、矿泉水、温泉等特殊地下水资源。</w:t>
            </w:r>
          </w:p>
          <w:p>
            <w:pPr>
              <w:spacing w:line="360" w:lineRule="auto"/>
              <w:ind w:firstLine="480" w:firstLineChars="200"/>
              <w:rPr>
                <w:color w:val="000000"/>
                <w:sz w:val="24"/>
              </w:rPr>
            </w:pPr>
            <w:r>
              <w:rPr>
                <w:color w:val="000000"/>
                <w:sz w:val="24"/>
              </w:rPr>
              <w:t>经现场勘查，扩建项目厂界外500米范围内不涉及地下水集中式饮用水水源和热水、矿泉水、温泉等特殊地下水资源。</w:t>
            </w:r>
          </w:p>
          <w:p>
            <w:pPr>
              <w:spacing w:line="360" w:lineRule="auto"/>
              <w:ind w:firstLine="480" w:firstLineChars="200"/>
              <w:rPr>
                <w:color w:val="000000"/>
                <w:sz w:val="24"/>
              </w:rPr>
            </w:pPr>
            <w:r>
              <w:rPr>
                <w:color w:val="000000"/>
                <w:sz w:val="24"/>
              </w:rPr>
              <w:t>生态环境。产业园区外建设项目新增用地的，应明确新增用地范围内生态环境保护目标。</w:t>
            </w:r>
          </w:p>
          <w:p>
            <w:pPr>
              <w:spacing w:line="360" w:lineRule="auto"/>
              <w:ind w:firstLine="480" w:firstLineChars="200"/>
              <w:rPr>
                <w:color w:val="000000"/>
                <w:kern w:val="0"/>
              </w:rPr>
            </w:pPr>
            <w:r>
              <w:rPr>
                <w:rFonts w:hint="eastAsia"/>
                <w:color w:val="000000"/>
                <w:kern w:val="0"/>
                <w:sz w:val="24"/>
                <w:szCs w:val="24"/>
              </w:rPr>
              <w:t>扩建项目用地范围内，根据现场勘查项目用地为空地，无生态环境保护目标。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386" w:type="dxa"/>
            <w:tcMar>
              <w:left w:w="28" w:type="dxa"/>
              <w:right w:w="28" w:type="dxa"/>
            </w:tcMar>
            <w:vAlign w:val="center"/>
          </w:tcPr>
          <w:p>
            <w:pPr>
              <w:adjustRightInd w:val="0"/>
              <w:snapToGrid w:val="0"/>
              <w:jc w:val="center"/>
              <w:rPr>
                <w:color w:val="000000"/>
                <w:kern w:val="0"/>
              </w:rPr>
            </w:pPr>
            <w:r>
              <w:rPr>
                <w:color w:val="000000"/>
                <w:kern w:val="0"/>
              </w:rPr>
              <w:t>污染</w:t>
            </w:r>
          </w:p>
          <w:p>
            <w:pPr>
              <w:adjustRightInd w:val="0"/>
              <w:snapToGrid w:val="0"/>
              <w:jc w:val="center"/>
              <w:rPr>
                <w:color w:val="000000"/>
                <w:kern w:val="0"/>
              </w:rPr>
            </w:pPr>
            <w:r>
              <w:rPr>
                <w:color w:val="000000"/>
                <w:kern w:val="0"/>
              </w:rPr>
              <w:t>物排</w:t>
            </w:r>
          </w:p>
          <w:p>
            <w:pPr>
              <w:adjustRightInd w:val="0"/>
              <w:snapToGrid w:val="0"/>
              <w:jc w:val="center"/>
              <w:rPr>
                <w:color w:val="000000"/>
                <w:kern w:val="0"/>
              </w:rPr>
            </w:pPr>
            <w:r>
              <w:rPr>
                <w:color w:val="000000"/>
                <w:kern w:val="0"/>
              </w:rPr>
              <w:t>放控</w:t>
            </w:r>
          </w:p>
          <w:p>
            <w:pPr>
              <w:adjustRightInd w:val="0"/>
              <w:snapToGrid w:val="0"/>
              <w:jc w:val="center"/>
              <w:rPr>
                <w:color w:val="000000"/>
                <w:kern w:val="0"/>
              </w:rPr>
            </w:pPr>
            <w:r>
              <w:rPr>
                <w:color w:val="000000"/>
                <w:kern w:val="0"/>
              </w:rPr>
              <w:t>制标</w:t>
            </w:r>
          </w:p>
          <w:p>
            <w:pPr>
              <w:adjustRightInd w:val="0"/>
              <w:snapToGrid w:val="0"/>
              <w:jc w:val="center"/>
              <w:rPr>
                <w:color w:val="000000"/>
                <w:kern w:val="0"/>
              </w:rPr>
            </w:pPr>
            <w:r>
              <w:rPr>
                <w:color w:val="000000"/>
                <w:kern w:val="0"/>
              </w:rPr>
              <w:t>准</w:t>
            </w:r>
          </w:p>
        </w:tc>
        <w:tc>
          <w:tcPr>
            <w:tcW w:w="8604" w:type="dxa"/>
            <w:vAlign w:val="center"/>
          </w:tcPr>
          <w:p>
            <w:pPr>
              <w:numPr>
                <w:ilvl w:val="0"/>
                <w:numId w:val="6"/>
              </w:numPr>
              <w:spacing w:line="360" w:lineRule="auto"/>
              <w:rPr>
                <w:b/>
                <w:bCs/>
                <w:color w:val="000000"/>
                <w:sz w:val="24"/>
              </w:rPr>
            </w:pPr>
            <w:r>
              <w:rPr>
                <w:b/>
                <w:bCs/>
                <w:color w:val="000000"/>
                <w:sz w:val="24"/>
              </w:rPr>
              <w:t>废水</w:t>
            </w:r>
            <w:bookmarkStart w:id="3" w:name="OLE_LINK250"/>
          </w:p>
          <w:p>
            <w:pPr>
              <w:spacing w:line="360" w:lineRule="auto"/>
              <w:ind w:firstLine="480" w:firstLineChars="200"/>
              <w:rPr>
                <w:sz w:val="24"/>
                <w:szCs w:val="24"/>
              </w:rPr>
            </w:pPr>
            <w:r>
              <w:rPr>
                <w:sz w:val="24"/>
                <w:szCs w:val="24"/>
              </w:rPr>
              <w:t>医疗废水</w:t>
            </w:r>
            <w:r>
              <w:rPr>
                <w:rFonts w:hint="eastAsia"/>
                <w:sz w:val="24"/>
                <w:szCs w:val="24"/>
              </w:rPr>
              <w:t>和生活废水</w:t>
            </w:r>
            <w:r>
              <w:rPr>
                <w:sz w:val="24"/>
                <w:szCs w:val="24"/>
              </w:rPr>
              <w:t>经自建医疗废水污水处理站处理达到</w:t>
            </w:r>
            <w:r>
              <w:rPr>
                <w:color w:val="000000"/>
                <w:sz w:val="24"/>
                <w:szCs w:val="24"/>
              </w:rPr>
              <w:t>《医疗机构水污染物排放标准》(GB18466-2005)表1传染病、结核病医疗机构污染物标准值排放要</w:t>
            </w:r>
            <w:r>
              <w:rPr>
                <w:rFonts w:hint="eastAsia" w:ascii="宋体" w:hAnsi="宋体" w:cs="宋体"/>
                <w:color w:val="000000"/>
                <w:sz w:val="24"/>
                <w:szCs w:val="24"/>
              </w:rPr>
              <w:t>求</w:t>
            </w:r>
            <w:r>
              <w:rPr>
                <w:rFonts w:hint="eastAsia"/>
                <w:sz w:val="24"/>
                <w:szCs w:val="24"/>
              </w:rPr>
              <w:t>，</w:t>
            </w:r>
            <w:r>
              <w:rPr>
                <w:spacing w:val="-2"/>
                <w:sz w:val="24"/>
                <w:szCs w:val="24"/>
              </w:rPr>
              <w:t xml:space="preserve">流经自建专管接入项目南侧 </w:t>
            </w:r>
            <w:r>
              <w:rPr>
                <w:rFonts w:eastAsia="Times New Roman"/>
                <w:sz w:val="24"/>
                <w:szCs w:val="24"/>
              </w:rPr>
              <w:t xml:space="preserve">750m </w:t>
            </w:r>
            <w:r>
              <w:rPr>
                <w:spacing w:val="2"/>
                <w:sz w:val="24"/>
                <w:szCs w:val="24"/>
              </w:rPr>
              <w:t>的市政污水管网</w:t>
            </w:r>
            <w:r>
              <w:rPr>
                <w:rFonts w:hint="eastAsia"/>
                <w:spacing w:val="2"/>
                <w:sz w:val="24"/>
                <w:szCs w:val="24"/>
              </w:rPr>
              <w:t>，</w:t>
            </w:r>
            <w:r>
              <w:rPr>
                <w:sz w:val="24"/>
                <w:szCs w:val="24"/>
              </w:rPr>
              <w:t>最终排入连州市污水处理厂。</w:t>
            </w:r>
            <w:r>
              <w:rPr>
                <w:rFonts w:hint="eastAsia"/>
                <w:sz w:val="24"/>
                <w:szCs w:val="24"/>
              </w:rPr>
              <w:t>废水主要污染物排放浓度限值见表3-2</w:t>
            </w:r>
          </w:p>
          <w:p>
            <w:pPr>
              <w:pStyle w:val="2"/>
              <w:spacing w:line="360" w:lineRule="auto"/>
              <w:jc w:val="center"/>
            </w:pPr>
            <w:r>
              <w:rPr>
                <w:rFonts w:hint="eastAsia"/>
                <w:bCs/>
              </w:rPr>
              <w:t xml:space="preserve">表3-2 </w:t>
            </w:r>
            <w:r>
              <w:rPr>
                <w:rFonts w:hint="eastAsia"/>
              </w:rPr>
              <w:t>水污染物排放浓度限值</w:t>
            </w:r>
            <w:r>
              <w:rPr>
                <w:bCs/>
              </w:rPr>
              <w:t>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86"/>
              <w:gridCol w:w="5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项目</w:t>
                  </w:r>
                </w:p>
              </w:tc>
              <w:tc>
                <w:tcPr>
                  <w:tcW w:w="3158" w:type="pct"/>
                  <w:shd w:val="clear" w:color="auto" w:fill="FFFFFF"/>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GB18466-2005</w:t>
                  </w:r>
                  <w:r>
                    <w:rPr>
                      <w:rFonts w:hint="eastAsia"/>
                      <w:color w:val="000000" w:themeColor="text1"/>
                      <w14:textFill>
                        <w14:solidFill>
                          <w14:schemeClr w14:val="tx1"/>
                        </w14:solidFill>
                      </w14:textFill>
                    </w:rPr>
                    <w:t>表</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lang w:eastAsia="en-US"/>
                      <w14:textFill>
                        <w14:solidFill>
                          <w14:schemeClr w14:val="tx1"/>
                        </w14:solidFill>
                      </w14:textFill>
                    </w:rPr>
                    <w:t>pH</w:t>
                  </w:r>
                </w:p>
              </w:tc>
              <w:tc>
                <w:tcPr>
                  <w:tcW w:w="3158" w:type="pct"/>
                  <w:shd w:val="clear" w:color="auto" w:fill="FFFFFF"/>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lang w:eastAsia="en-US"/>
                      <w14:textFill>
                        <w14:solidFill>
                          <w14:schemeClr w14:val="tx1"/>
                        </w14:solidFill>
                      </w14:textFill>
                    </w:rPr>
                    <w:t>COD</w:t>
                  </w:r>
                  <w:r>
                    <w:rPr>
                      <w:color w:val="000000" w:themeColor="text1"/>
                      <w:vertAlign w:val="subscript"/>
                      <w:lang w:eastAsia="en-US"/>
                      <w14:textFill>
                        <w14:solidFill>
                          <w14:schemeClr w14:val="tx1"/>
                        </w14:solidFill>
                      </w14:textFill>
                    </w:rPr>
                    <w:t>Cr</w:t>
                  </w:r>
                </w:p>
              </w:tc>
              <w:tc>
                <w:tcPr>
                  <w:tcW w:w="3158"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lang w:val="zh-TW"/>
                      <w14:textFill>
                        <w14:solidFill>
                          <w14:schemeClr w14:val="tx1"/>
                        </w14:solidFill>
                      </w14:textFill>
                    </w:rPr>
                    <w:t>≤</w:t>
                  </w:r>
                  <w:r>
                    <w:rPr>
                      <w:color w:val="000000" w:themeColor="text1"/>
                      <w14:textFill>
                        <w14:solidFill>
                          <w14:schemeClr w14:val="tx1"/>
                        </w14:solidFill>
                      </w14:textFill>
                    </w:rPr>
                    <w:t>60</w:t>
                  </w:r>
                  <w:r>
                    <w:rPr>
                      <w:spacing w:val="-16"/>
                      <w:position w:val="2"/>
                      <w:sz w:val="24"/>
                      <w:szCs w:val="24"/>
                    </w:rPr>
                    <w:t xml:space="preserve">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lang w:eastAsia="en-US"/>
                      <w14:textFill>
                        <w14:solidFill>
                          <w14:schemeClr w14:val="tx1"/>
                        </w14:solidFill>
                      </w14:textFill>
                    </w:rPr>
                    <w:t>BOD</w:t>
                  </w:r>
                  <w:r>
                    <w:rPr>
                      <w:color w:val="000000" w:themeColor="text1"/>
                      <w:vertAlign w:val="subscript"/>
                      <w:lang w:eastAsia="en-US"/>
                      <w14:textFill>
                        <w14:solidFill>
                          <w14:schemeClr w14:val="tx1"/>
                        </w14:solidFill>
                      </w14:textFill>
                    </w:rPr>
                    <w:t>5</w:t>
                  </w:r>
                </w:p>
              </w:tc>
              <w:tc>
                <w:tcPr>
                  <w:tcW w:w="3158"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lang w:val="zh-TW"/>
                      <w14:textFill>
                        <w14:solidFill>
                          <w14:schemeClr w14:val="tx1"/>
                        </w14:solidFill>
                      </w14:textFill>
                    </w:rPr>
                    <w:t>≤</w:t>
                  </w:r>
                  <w:r>
                    <w:rPr>
                      <w:color w:val="000000" w:themeColor="text1"/>
                      <w14:textFill>
                        <w14:solidFill>
                          <w14:schemeClr w14:val="tx1"/>
                        </w14:solidFill>
                      </w14:textFill>
                    </w:rPr>
                    <w:t>20</w:t>
                  </w:r>
                  <w:r>
                    <w:rPr>
                      <w:spacing w:val="-16"/>
                      <w:position w:val="2"/>
                      <w:sz w:val="24"/>
                      <w:szCs w:val="24"/>
                    </w:rPr>
                    <w:t xml:space="preserve">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lang w:eastAsia="en-US"/>
                      <w14:textFill>
                        <w14:solidFill>
                          <w14:schemeClr w14:val="tx1"/>
                        </w14:solidFill>
                      </w14:textFill>
                    </w:rPr>
                    <w:t>SS</w:t>
                  </w:r>
                </w:p>
              </w:tc>
              <w:tc>
                <w:tcPr>
                  <w:tcW w:w="3158"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lang w:val="zh-TW"/>
                      <w14:textFill>
                        <w14:solidFill>
                          <w14:schemeClr w14:val="tx1"/>
                        </w14:solidFill>
                      </w14:textFill>
                    </w:rPr>
                    <w:t>≤</w:t>
                  </w:r>
                  <w:r>
                    <w:rPr>
                      <w:color w:val="000000" w:themeColor="text1"/>
                      <w14:textFill>
                        <w14:solidFill>
                          <w14:schemeClr w14:val="tx1"/>
                        </w14:solidFill>
                      </w14:textFill>
                    </w:rPr>
                    <w:t>20</w:t>
                  </w:r>
                  <w:r>
                    <w:rPr>
                      <w:spacing w:val="-16"/>
                      <w:position w:val="2"/>
                      <w:sz w:val="24"/>
                      <w:szCs w:val="24"/>
                    </w:rPr>
                    <w:t xml:space="preserve">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氨氮</w:t>
                  </w:r>
                </w:p>
              </w:tc>
              <w:tc>
                <w:tcPr>
                  <w:tcW w:w="3158" w:type="pct"/>
                  <w:shd w:val="clear" w:color="auto" w:fill="FFFFFF"/>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r>
                    <w:rPr>
                      <w:spacing w:val="-16"/>
                      <w:position w:val="2"/>
                      <w:sz w:val="24"/>
                      <w:szCs w:val="24"/>
                    </w:rPr>
                    <w:t xml:space="preserve">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动植物油</w:t>
                  </w:r>
                </w:p>
              </w:tc>
              <w:tc>
                <w:tcPr>
                  <w:tcW w:w="3158"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lang w:val="zh-TW"/>
                      <w14:textFill>
                        <w14:solidFill>
                          <w14:schemeClr w14:val="tx1"/>
                        </w14:solidFill>
                      </w14:textFill>
                    </w:rPr>
                    <w:t>≤</w:t>
                  </w:r>
                  <w:r>
                    <w:rPr>
                      <w:color w:val="000000" w:themeColor="text1"/>
                      <w14:textFill>
                        <w14:solidFill>
                          <w14:schemeClr w14:val="tx1"/>
                        </w14:solidFill>
                      </w14:textFill>
                    </w:rPr>
                    <w:t>5</w:t>
                  </w:r>
                  <w:r>
                    <w:rPr>
                      <w:spacing w:val="-16"/>
                      <w:position w:val="2"/>
                      <w:sz w:val="24"/>
                      <w:szCs w:val="24"/>
                    </w:rPr>
                    <w:t xml:space="preserve">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842"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粪大肠菌群数</w:t>
                  </w:r>
                </w:p>
              </w:tc>
              <w:tc>
                <w:tcPr>
                  <w:tcW w:w="3158" w:type="pct"/>
                  <w:shd w:val="clear" w:color="auto" w:fill="FFFFFF"/>
                  <w:vAlign w:val="center"/>
                </w:tcPr>
                <w:p>
                  <w:pPr>
                    <w:jc w:val="center"/>
                    <w:rPr>
                      <w:color w:val="000000" w:themeColor="text1"/>
                      <w14:textFill>
                        <w14:solidFill>
                          <w14:schemeClr w14:val="tx1"/>
                        </w14:solidFill>
                      </w14:textFill>
                    </w:rPr>
                  </w:pPr>
                  <w:r>
                    <w:rPr>
                      <w:rFonts w:hint="eastAsia"/>
                      <w:color w:val="000000" w:themeColor="text1"/>
                      <w:lang w:val="zh-TW"/>
                      <w14:textFill>
                        <w14:solidFill>
                          <w14:schemeClr w14:val="tx1"/>
                        </w14:solidFill>
                      </w14:textFill>
                    </w:rPr>
                    <w:t>≤</w:t>
                  </w:r>
                  <w:r>
                    <w:rPr>
                      <w:color w:val="000000" w:themeColor="text1"/>
                      <w14:textFill>
                        <w14:solidFill>
                          <w14:schemeClr w14:val="tx1"/>
                        </w14:solidFill>
                      </w14:textFill>
                    </w:rPr>
                    <w:t>100</w:t>
                  </w:r>
                  <w:r>
                    <w:rPr>
                      <w:rFonts w:hint="eastAsia"/>
                    </w:rPr>
                    <w:t>M</w:t>
                  </w:r>
                  <w:r>
                    <w:t>PN/L</w:t>
                  </w:r>
                </w:p>
              </w:tc>
            </w:tr>
          </w:tbl>
          <w:p>
            <w:pPr>
              <w:pStyle w:val="2"/>
            </w:pPr>
          </w:p>
          <w:bookmarkEnd w:id="3"/>
          <w:p>
            <w:pPr>
              <w:numPr>
                <w:ilvl w:val="0"/>
                <w:numId w:val="7"/>
              </w:numPr>
              <w:spacing w:line="360" w:lineRule="auto"/>
              <w:rPr>
                <w:sz w:val="24"/>
                <w:szCs w:val="24"/>
              </w:rPr>
            </w:pPr>
            <w:r>
              <w:rPr>
                <w:b/>
                <w:bCs/>
                <w:color w:val="000000"/>
                <w:sz w:val="24"/>
              </w:rPr>
              <w:t>废气</w:t>
            </w:r>
          </w:p>
          <w:p>
            <w:pPr>
              <w:spacing w:line="360" w:lineRule="auto"/>
              <w:ind w:firstLine="480" w:firstLineChars="200"/>
              <w:rPr>
                <w:sz w:val="24"/>
                <w:szCs w:val="24"/>
              </w:rPr>
            </w:pPr>
            <w:r>
              <w:rPr>
                <w:rFonts w:hint="eastAsia"/>
                <w:sz w:val="24"/>
                <w:szCs w:val="24"/>
              </w:rPr>
              <w:t>扩建项目废气主要包括</w:t>
            </w:r>
            <w:r>
              <w:rPr>
                <w:sz w:val="24"/>
                <w:szCs w:val="24"/>
              </w:rPr>
              <w:t>医疗废水处理站</w:t>
            </w:r>
            <w:r>
              <w:rPr>
                <w:rFonts w:hint="eastAsia"/>
                <w:sz w:val="24"/>
                <w:szCs w:val="24"/>
              </w:rPr>
              <w:t>恶臭、</w:t>
            </w:r>
            <w:r>
              <w:rPr>
                <w:sz w:val="24"/>
                <w:szCs w:val="24"/>
              </w:rPr>
              <w:t>食堂油烟</w:t>
            </w:r>
            <w:r>
              <w:rPr>
                <w:rFonts w:hint="eastAsia"/>
                <w:sz w:val="24"/>
                <w:szCs w:val="24"/>
              </w:rPr>
              <w:t>及停车场车辆尾气。其中</w:t>
            </w:r>
            <w:r>
              <w:rPr>
                <w:sz w:val="24"/>
                <w:szCs w:val="24"/>
              </w:rPr>
              <w:t>污水处理站周</w:t>
            </w:r>
            <w:r>
              <w:rPr>
                <w:rFonts w:hint="eastAsia"/>
                <w:sz w:val="24"/>
                <w:szCs w:val="24"/>
              </w:rPr>
              <w:t>边</w:t>
            </w:r>
            <w:r>
              <w:rPr>
                <w:sz w:val="24"/>
                <w:szCs w:val="24"/>
              </w:rPr>
              <w:t>无组织废气（氨、硫化氢、臭气浓度）</w:t>
            </w:r>
            <w:r>
              <w:rPr>
                <w:rFonts w:hint="eastAsia"/>
                <w:sz w:val="24"/>
                <w:szCs w:val="24"/>
              </w:rPr>
              <w:t>执行</w:t>
            </w:r>
            <w:r>
              <w:rPr>
                <w:sz w:val="24"/>
                <w:szCs w:val="24"/>
              </w:rPr>
              <w:t>《医疗机构水污染物排放标准》（GB 18466-2005）表3 标准限值</w:t>
            </w:r>
            <w:r>
              <w:rPr>
                <w:color w:val="000000"/>
                <w:sz w:val="24"/>
                <w:szCs w:val="24"/>
              </w:rPr>
              <w:t>要求</w:t>
            </w:r>
            <w:r>
              <w:rPr>
                <w:rFonts w:hint="eastAsia"/>
                <w:color w:val="000000"/>
                <w:sz w:val="24"/>
                <w:szCs w:val="24"/>
              </w:rPr>
              <w:t>（</w:t>
            </w:r>
            <w:r>
              <w:rPr>
                <w:sz w:val="24"/>
                <w:szCs w:val="24"/>
              </w:rPr>
              <w:t>氨</w:t>
            </w:r>
            <w:r>
              <w:rPr>
                <w:rFonts w:hint="eastAsia"/>
                <w:color w:val="000000"/>
                <w:sz w:val="24"/>
                <w:szCs w:val="24"/>
              </w:rPr>
              <w:t>≤</w:t>
            </w:r>
            <w:r>
              <w:rPr>
                <w:color w:val="000000"/>
                <w:sz w:val="24"/>
                <w:szCs w:val="24"/>
              </w:rPr>
              <w:t>1.0mg/m</w:t>
            </w:r>
            <w:r>
              <w:rPr>
                <w:color w:val="000000"/>
                <w:sz w:val="24"/>
                <w:szCs w:val="24"/>
                <w:vertAlign w:val="superscript"/>
              </w:rPr>
              <w:t>3</w:t>
            </w:r>
            <w:r>
              <w:rPr>
                <w:sz w:val="24"/>
                <w:szCs w:val="24"/>
              </w:rPr>
              <w:t>、硫化氢</w:t>
            </w:r>
            <w:r>
              <w:rPr>
                <w:rFonts w:hint="eastAsia"/>
                <w:color w:val="000000"/>
                <w:sz w:val="24"/>
                <w:szCs w:val="24"/>
              </w:rPr>
              <w:t>≤</w:t>
            </w:r>
            <w:r>
              <w:rPr>
                <w:color w:val="000000"/>
                <w:sz w:val="24"/>
                <w:szCs w:val="24"/>
              </w:rPr>
              <w:t>0.03mg/m</w:t>
            </w:r>
            <w:r>
              <w:rPr>
                <w:color w:val="000000"/>
                <w:sz w:val="24"/>
                <w:szCs w:val="24"/>
                <w:vertAlign w:val="superscript"/>
              </w:rPr>
              <w:t>3</w:t>
            </w:r>
            <w:r>
              <w:rPr>
                <w:sz w:val="24"/>
                <w:szCs w:val="24"/>
              </w:rPr>
              <w:t>、臭气浓度</w:t>
            </w:r>
            <w:r>
              <w:rPr>
                <w:rFonts w:hint="eastAsia"/>
                <w:sz w:val="24"/>
                <w:szCs w:val="24"/>
              </w:rPr>
              <w:t>（无量纲）</w:t>
            </w:r>
            <w:r>
              <w:rPr>
                <w:rFonts w:hint="eastAsia"/>
                <w:color w:val="000000"/>
                <w:sz w:val="24"/>
                <w:szCs w:val="24"/>
              </w:rPr>
              <w:t>≤</w:t>
            </w:r>
            <w:r>
              <w:rPr>
                <w:color w:val="000000"/>
                <w:sz w:val="24"/>
                <w:szCs w:val="24"/>
              </w:rPr>
              <w:t>10</w:t>
            </w:r>
            <w:r>
              <w:rPr>
                <w:rFonts w:hint="eastAsia"/>
                <w:color w:val="000000"/>
                <w:sz w:val="24"/>
                <w:szCs w:val="24"/>
              </w:rPr>
              <w:t>）；</w:t>
            </w:r>
            <w:r>
              <w:rPr>
                <w:color w:val="000000"/>
                <w:sz w:val="24"/>
                <w:szCs w:val="24"/>
              </w:rPr>
              <w:t>油烟排放浓度</w:t>
            </w:r>
            <w:r>
              <w:rPr>
                <w:rFonts w:hint="eastAsia"/>
                <w:color w:val="000000"/>
                <w:sz w:val="24"/>
                <w:szCs w:val="24"/>
              </w:rPr>
              <w:t>执行</w:t>
            </w:r>
            <w:r>
              <w:rPr>
                <w:color w:val="000000"/>
                <w:sz w:val="24"/>
                <w:szCs w:val="24"/>
              </w:rPr>
              <w:t>《饮食业油烟排放标准（试行）》（GB18483-2001）</w:t>
            </w:r>
            <w:r>
              <w:rPr>
                <w:rFonts w:hint="eastAsia"/>
                <w:color w:val="000000"/>
                <w:sz w:val="24"/>
                <w:szCs w:val="24"/>
              </w:rPr>
              <w:t>≤</w:t>
            </w:r>
            <w:r>
              <w:rPr>
                <w:color w:val="000000"/>
                <w:sz w:val="24"/>
                <w:szCs w:val="24"/>
              </w:rPr>
              <w:t>2.0mg/m</w:t>
            </w:r>
            <w:r>
              <w:rPr>
                <w:color w:val="000000"/>
                <w:sz w:val="24"/>
                <w:szCs w:val="24"/>
                <w:vertAlign w:val="superscript"/>
              </w:rPr>
              <w:t>3</w:t>
            </w:r>
            <w:r>
              <w:rPr>
                <w:color w:val="000000"/>
                <w:sz w:val="24"/>
                <w:szCs w:val="24"/>
              </w:rPr>
              <w:t>的要求</w:t>
            </w:r>
            <w:r>
              <w:rPr>
                <w:rFonts w:hint="eastAsia"/>
                <w:color w:val="000000"/>
                <w:sz w:val="24"/>
                <w:szCs w:val="24"/>
              </w:rPr>
              <w:t>；停车场车辆尾气执行</w:t>
            </w:r>
            <w:r>
              <w:rPr>
                <w:color w:val="000000"/>
                <w:sz w:val="24"/>
                <w:szCs w:val="24"/>
              </w:rPr>
              <w:t>广东省地方标准《大气污染物排放限值》（DB44/27-2001）表2中无组织排放监控浓度限值（NOx：0.12 mg/m</w:t>
            </w:r>
            <w:r>
              <w:rPr>
                <w:color w:val="000000"/>
                <w:sz w:val="24"/>
                <w:szCs w:val="24"/>
                <w:vertAlign w:val="superscript"/>
              </w:rPr>
              <w:t>3</w:t>
            </w:r>
            <w:r>
              <w:rPr>
                <w:color w:val="000000"/>
                <w:sz w:val="24"/>
                <w:szCs w:val="24"/>
              </w:rPr>
              <w:t>；非甲烷总烃：4.0 mg/m</w:t>
            </w:r>
            <w:r>
              <w:rPr>
                <w:color w:val="000000"/>
                <w:sz w:val="24"/>
                <w:szCs w:val="24"/>
                <w:vertAlign w:val="superscript"/>
              </w:rPr>
              <w:t>3</w:t>
            </w:r>
            <w:r>
              <w:rPr>
                <w:color w:val="000000"/>
                <w:sz w:val="24"/>
                <w:szCs w:val="24"/>
              </w:rPr>
              <w:t>，CO：8.0mg/m</w:t>
            </w:r>
            <w:r>
              <w:rPr>
                <w:color w:val="000000"/>
                <w:sz w:val="24"/>
                <w:szCs w:val="24"/>
                <w:vertAlign w:val="superscript"/>
              </w:rPr>
              <w:t>3</w:t>
            </w:r>
            <w:r>
              <w:rPr>
                <w:color w:val="000000"/>
                <w:sz w:val="24"/>
                <w:szCs w:val="24"/>
              </w:rPr>
              <w:t>）</w:t>
            </w:r>
            <w:r>
              <w:rPr>
                <w:rFonts w:hint="eastAsia"/>
                <w:color w:val="000000"/>
                <w:sz w:val="24"/>
                <w:szCs w:val="24"/>
              </w:rPr>
              <w:t>。</w:t>
            </w:r>
          </w:p>
          <w:p>
            <w:pPr>
              <w:numPr>
                <w:ilvl w:val="0"/>
                <w:numId w:val="7"/>
              </w:numPr>
              <w:spacing w:line="360" w:lineRule="auto"/>
              <w:rPr>
                <w:b/>
                <w:bCs/>
                <w:color w:val="000000"/>
                <w:sz w:val="24"/>
              </w:rPr>
            </w:pPr>
            <w:r>
              <w:rPr>
                <w:b/>
                <w:bCs/>
                <w:color w:val="000000"/>
                <w:sz w:val="24"/>
              </w:rPr>
              <w:t>噪声</w:t>
            </w:r>
          </w:p>
          <w:p>
            <w:pPr>
              <w:spacing w:line="360" w:lineRule="auto"/>
              <w:ind w:firstLine="480" w:firstLineChars="200"/>
              <w:rPr>
                <w:color w:val="000000"/>
                <w:sz w:val="24"/>
                <w:szCs w:val="24"/>
              </w:rPr>
            </w:pPr>
            <w:r>
              <w:rPr>
                <w:sz w:val="24"/>
                <w:szCs w:val="24"/>
              </w:rPr>
              <w:t>《声环境质量标准》</w:t>
            </w:r>
            <w:r>
              <w:rPr>
                <w:rFonts w:eastAsia="Times New Roman"/>
                <w:sz w:val="24"/>
                <w:szCs w:val="24"/>
              </w:rPr>
              <w:t>(GB3096-2008)</w:t>
            </w:r>
            <w:r>
              <w:rPr>
                <w:sz w:val="24"/>
                <w:szCs w:val="24"/>
              </w:rPr>
              <w:t>中</w:t>
            </w:r>
            <w:r>
              <w:rPr>
                <w:rFonts w:eastAsia="Times New Roman"/>
                <w:sz w:val="24"/>
                <w:szCs w:val="24"/>
              </w:rPr>
              <w:t xml:space="preserve">2 </w:t>
            </w:r>
            <w:r>
              <w:rPr>
                <w:sz w:val="24"/>
                <w:szCs w:val="24"/>
              </w:rPr>
              <w:t>类环境噪声限值</w:t>
            </w:r>
            <w:bookmarkStart w:id="4" w:name="OLE_LINK17"/>
            <w:bookmarkStart w:id="5" w:name="OLE_LINK16"/>
            <w:r>
              <w:rPr>
                <w:color w:val="000000"/>
                <w:sz w:val="24"/>
                <w:szCs w:val="24"/>
              </w:rPr>
              <w:t>(即昼间≤6</w:t>
            </w:r>
            <w:r>
              <w:rPr>
                <w:rFonts w:hint="eastAsia"/>
                <w:color w:val="000000"/>
                <w:sz w:val="24"/>
                <w:szCs w:val="24"/>
              </w:rPr>
              <w:t>0</w:t>
            </w:r>
            <w:r>
              <w:rPr>
                <w:color w:val="000000"/>
                <w:sz w:val="24"/>
                <w:szCs w:val="24"/>
              </w:rPr>
              <w:t>dB(A)、夜间≤5</w:t>
            </w:r>
            <w:r>
              <w:rPr>
                <w:rFonts w:hint="eastAsia"/>
                <w:color w:val="000000"/>
                <w:sz w:val="24"/>
                <w:szCs w:val="24"/>
              </w:rPr>
              <w:t>0</w:t>
            </w:r>
            <w:r>
              <w:rPr>
                <w:color w:val="000000"/>
                <w:sz w:val="24"/>
                <w:szCs w:val="24"/>
              </w:rPr>
              <w:t>dB(A))</w:t>
            </w:r>
            <w:bookmarkEnd w:id="4"/>
            <w:bookmarkEnd w:id="5"/>
            <w:r>
              <w:rPr>
                <w:color w:val="000000"/>
                <w:sz w:val="24"/>
                <w:szCs w:val="24"/>
              </w:rPr>
              <w:t>。</w:t>
            </w:r>
          </w:p>
          <w:p>
            <w:pPr>
              <w:spacing w:line="360" w:lineRule="auto"/>
              <w:rPr>
                <w:b/>
                <w:bCs/>
                <w:color w:val="000000"/>
                <w:sz w:val="24"/>
              </w:rPr>
            </w:pPr>
            <w:r>
              <w:rPr>
                <w:b/>
                <w:bCs/>
                <w:color w:val="000000"/>
                <w:sz w:val="24"/>
              </w:rPr>
              <w:t>4、固体废物</w:t>
            </w:r>
          </w:p>
          <w:p>
            <w:pPr>
              <w:spacing w:line="360" w:lineRule="auto"/>
              <w:ind w:firstLine="480" w:firstLineChars="200"/>
              <w:jc w:val="left"/>
              <w:rPr>
                <w:color w:val="000000"/>
                <w:kern w:val="0"/>
              </w:rPr>
            </w:pPr>
            <w:r>
              <w:rPr>
                <w:sz w:val="24"/>
                <w:szCs w:val="24"/>
              </w:rPr>
              <w:t>固体废物要分类并及时规范处理，一般固体废物执行《一般工业固体废物贮存、处置场污染控制标准》（GB18599-2001）及2013 年修改单的相关规定。危险废物贮存执行《危险废物贮存污染控制标准》（GB18597-2001）及修改的要求。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386" w:type="dxa"/>
            <w:vAlign w:val="center"/>
          </w:tcPr>
          <w:p>
            <w:pPr>
              <w:adjustRightInd w:val="0"/>
              <w:snapToGrid w:val="0"/>
              <w:jc w:val="center"/>
              <w:rPr>
                <w:color w:val="000000"/>
              </w:rPr>
            </w:pPr>
            <w:r>
              <w:rPr>
                <w:color w:val="000000"/>
              </w:rPr>
              <w:t>总量</w:t>
            </w:r>
          </w:p>
          <w:p>
            <w:pPr>
              <w:adjustRightInd w:val="0"/>
              <w:snapToGrid w:val="0"/>
              <w:jc w:val="center"/>
              <w:rPr>
                <w:color w:val="000000"/>
              </w:rPr>
            </w:pPr>
            <w:r>
              <w:rPr>
                <w:color w:val="000000"/>
              </w:rPr>
              <w:t>控制</w:t>
            </w:r>
          </w:p>
          <w:p>
            <w:pPr>
              <w:adjustRightInd w:val="0"/>
              <w:snapToGrid w:val="0"/>
              <w:jc w:val="center"/>
              <w:rPr>
                <w:color w:val="000000"/>
              </w:rPr>
            </w:pPr>
            <w:r>
              <w:rPr>
                <w:color w:val="000000"/>
              </w:rPr>
              <w:t>指标</w:t>
            </w:r>
          </w:p>
          <w:p>
            <w:pPr>
              <w:pStyle w:val="2"/>
            </w:pPr>
          </w:p>
          <w:p>
            <w:pPr>
              <w:pStyle w:val="10"/>
              <w:ind w:right="-94"/>
              <w:rPr>
                <w:color w:val="000000"/>
              </w:rPr>
            </w:pPr>
          </w:p>
        </w:tc>
        <w:tc>
          <w:tcPr>
            <w:tcW w:w="8604" w:type="dxa"/>
            <w:vAlign w:val="center"/>
          </w:tcPr>
          <w:p>
            <w:pPr>
              <w:pStyle w:val="2"/>
            </w:pPr>
          </w:p>
          <w:p>
            <w:pPr>
              <w:spacing w:line="360" w:lineRule="auto"/>
              <w:ind w:firstLine="480" w:firstLineChars="200"/>
              <w:jc w:val="left"/>
              <w:rPr>
                <w:rFonts w:ascii="宋体" w:hAnsi="宋体"/>
                <w:sz w:val="24"/>
                <w:szCs w:val="24"/>
              </w:rPr>
            </w:pPr>
            <w:r>
              <w:rPr>
                <w:color w:val="000000"/>
                <w:sz w:val="24"/>
              </w:rPr>
              <w:t>项目水污染物排放总量控制指标</w:t>
            </w:r>
            <w:r>
              <w:rPr>
                <w:rFonts w:hint="eastAsia"/>
                <w:color w:val="000000"/>
                <w:sz w:val="24"/>
              </w:rPr>
              <w:t>：</w:t>
            </w:r>
            <w:r>
              <w:rPr>
                <w:rFonts w:hint="eastAsia" w:ascii="宋体" w:hAnsi="宋体"/>
                <w:sz w:val="24"/>
                <w:szCs w:val="24"/>
              </w:rPr>
              <w:t>扩建项目水污染物总量控制指标计入连州市污水处理厂的总量控制指标，不再另设总量控制指标。</w:t>
            </w:r>
          </w:p>
          <w:p>
            <w:pPr>
              <w:ind w:firstLine="420" w:firstLineChars="200"/>
              <w:jc w:val="left"/>
              <w:rPr>
                <w:color w:val="000000"/>
              </w:rPr>
            </w:pPr>
          </w:p>
          <w:p>
            <w:pPr>
              <w:pStyle w:val="2"/>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tc>
      </w:tr>
    </w:tbl>
    <w:p>
      <w:pPr>
        <w:pStyle w:val="25"/>
        <w:jc w:val="center"/>
        <w:outlineLvl w:val="0"/>
        <w:rPr>
          <w:rFonts w:ascii="黑体" w:hAnsi="黑体" w:eastAsia="黑体"/>
          <w:snapToGrid w:val="0"/>
          <w:color w:val="000000"/>
          <w:sz w:val="30"/>
          <w:szCs w:val="30"/>
        </w:rPr>
      </w:pPr>
      <w:r>
        <w:rPr>
          <w:rFonts w:ascii="黑体" w:hAnsi="黑体" w:eastAsia="黑体"/>
          <w:snapToGrid w:val="0"/>
          <w:color w:val="000000"/>
          <w:sz w:val="36"/>
          <w:szCs w:val="36"/>
        </w:rPr>
        <w:br w:type="page"/>
      </w:r>
      <w:r>
        <w:rPr>
          <w:rFonts w:hint="eastAsia" w:ascii="黑体" w:hAnsi="黑体" w:eastAsia="黑体"/>
          <w:snapToGrid w:val="0"/>
          <w:color w:val="000000"/>
          <w:sz w:val="30"/>
          <w:szCs w:val="30"/>
        </w:rPr>
        <w:t>四、主要环境影响和保护措施</w:t>
      </w: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3"/>
        <w:gridCol w:w="87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11" w:hRule="atLeast"/>
          <w:jc w:val="center"/>
        </w:trPr>
        <w:tc>
          <w:tcPr>
            <w:tcW w:w="367" w:type="dxa"/>
            <w:tcMar>
              <w:left w:w="28" w:type="dxa"/>
              <w:right w:w="28" w:type="dxa"/>
            </w:tcMar>
            <w:vAlign w:val="center"/>
          </w:tcPr>
          <w:p>
            <w:pPr>
              <w:pStyle w:val="25"/>
              <w:adjustRightInd w:val="0"/>
              <w:snapToGrid w:val="0"/>
              <w:spacing w:before="0" w:beforeAutospacing="0" w:after="0" w:afterAutospacing="0"/>
              <w:jc w:val="center"/>
              <w:rPr>
                <w:rFonts w:ascii="Times New Roman" w:hAnsi="Times New Roman"/>
                <w:color w:val="000000"/>
                <w:kern w:val="2"/>
                <w:sz w:val="21"/>
                <w:szCs w:val="21"/>
              </w:rPr>
            </w:pPr>
            <w:r>
              <w:rPr>
                <w:rFonts w:ascii="Times New Roman" w:hAnsi="Times New Roman"/>
                <w:color w:val="000000"/>
                <w:kern w:val="2"/>
                <w:sz w:val="21"/>
                <w:szCs w:val="21"/>
              </w:rPr>
              <w:t>施工</w:t>
            </w:r>
          </w:p>
          <w:p>
            <w:pPr>
              <w:pStyle w:val="25"/>
              <w:adjustRightInd w:val="0"/>
              <w:snapToGrid w:val="0"/>
              <w:spacing w:before="0" w:beforeAutospacing="0" w:after="0" w:afterAutospacing="0"/>
              <w:jc w:val="center"/>
              <w:rPr>
                <w:rFonts w:ascii="Times New Roman" w:hAnsi="Times New Roman"/>
                <w:color w:val="000000"/>
                <w:kern w:val="2"/>
                <w:sz w:val="21"/>
                <w:szCs w:val="21"/>
              </w:rPr>
            </w:pPr>
            <w:r>
              <w:rPr>
                <w:rFonts w:ascii="Times New Roman" w:hAnsi="Times New Roman"/>
                <w:color w:val="000000"/>
                <w:kern w:val="2"/>
                <w:sz w:val="21"/>
                <w:szCs w:val="21"/>
              </w:rPr>
              <w:t>期环</w:t>
            </w:r>
          </w:p>
          <w:p>
            <w:pPr>
              <w:pStyle w:val="25"/>
              <w:adjustRightInd w:val="0"/>
              <w:snapToGrid w:val="0"/>
              <w:spacing w:before="0" w:beforeAutospacing="0" w:after="0" w:afterAutospacing="0"/>
              <w:jc w:val="center"/>
              <w:rPr>
                <w:rFonts w:ascii="Times New Roman" w:hAnsi="Times New Roman"/>
                <w:color w:val="000000"/>
                <w:kern w:val="2"/>
                <w:sz w:val="21"/>
                <w:szCs w:val="21"/>
              </w:rPr>
            </w:pPr>
            <w:r>
              <w:rPr>
                <w:rFonts w:ascii="Times New Roman" w:hAnsi="Times New Roman"/>
                <w:color w:val="000000"/>
                <w:kern w:val="2"/>
                <w:sz w:val="21"/>
                <w:szCs w:val="21"/>
              </w:rPr>
              <w:t>境保</w:t>
            </w:r>
          </w:p>
          <w:p>
            <w:pPr>
              <w:pStyle w:val="25"/>
              <w:adjustRightInd w:val="0"/>
              <w:snapToGrid w:val="0"/>
              <w:spacing w:before="0" w:beforeAutospacing="0" w:after="0" w:afterAutospacing="0"/>
              <w:jc w:val="center"/>
              <w:rPr>
                <w:rFonts w:ascii="Times New Roman" w:hAnsi="Times New Roman"/>
                <w:color w:val="000000"/>
                <w:kern w:val="2"/>
                <w:sz w:val="21"/>
                <w:szCs w:val="21"/>
              </w:rPr>
            </w:pPr>
            <w:r>
              <w:rPr>
                <w:rFonts w:ascii="Times New Roman" w:hAnsi="Times New Roman"/>
                <w:color w:val="000000"/>
                <w:kern w:val="2"/>
                <w:sz w:val="21"/>
                <w:szCs w:val="21"/>
              </w:rPr>
              <w:t>护措</w:t>
            </w:r>
          </w:p>
          <w:p>
            <w:pPr>
              <w:pStyle w:val="25"/>
              <w:adjustRightInd w:val="0"/>
              <w:snapToGrid w:val="0"/>
              <w:spacing w:before="0" w:beforeAutospacing="0" w:after="0" w:afterAutospacing="0"/>
              <w:jc w:val="center"/>
              <w:rPr>
                <w:rFonts w:ascii="Times New Roman" w:hAnsi="Times New Roman"/>
                <w:bCs/>
                <w:color w:val="000000"/>
                <w:kern w:val="2"/>
                <w:sz w:val="21"/>
                <w:szCs w:val="21"/>
              </w:rPr>
            </w:pPr>
            <w:r>
              <w:rPr>
                <w:rFonts w:ascii="Times New Roman" w:hAnsi="Times New Roman"/>
                <w:color w:val="000000"/>
                <w:kern w:val="2"/>
                <w:sz w:val="21"/>
                <w:szCs w:val="21"/>
              </w:rPr>
              <w:t>施</w:t>
            </w:r>
          </w:p>
        </w:tc>
        <w:tc>
          <w:tcPr>
            <w:tcW w:w="8614" w:type="dxa"/>
            <w:vAlign w:val="center"/>
          </w:tcPr>
          <w:p>
            <w:pPr>
              <w:numPr>
                <w:ilvl w:val="0"/>
                <w:numId w:val="8"/>
              </w:numPr>
              <w:spacing w:line="360" w:lineRule="auto"/>
              <w:ind w:firstLine="640"/>
              <w:rPr>
                <w:b/>
                <w:bCs/>
                <w:sz w:val="24"/>
                <w:szCs w:val="24"/>
              </w:rPr>
            </w:pPr>
            <w:r>
              <w:rPr>
                <w:rFonts w:hint="eastAsia" w:hAnsi="仿宋_GB2312"/>
                <w:b/>
                <w:bCs/>
                <w:sz w:val="24"/>
                <w:szCs w:val="24"/>
              </w:rPr>
              <w:t>施工期大气污染</w:t>
            </w:r>
          </w:p>
          <w:p>
            <w:pPr>
              <w:spacing w:line="360" w:lineRule="auto"/>
              <w:ind w:firstLine="480" w:firstLineChars="200"/>
              <w:rPr>
                <w:rFonts w:hAnsi="仿宋_GB2312"/>
                <w:sz w:val="24"/>
                <w:szCs w:val="24"/>
              </w:rPr>
            </w:pPr>
            <w:r>
              <w:rPr>
                <w:rFonts w:hint="eastAsia" w:hAnsi="仿宋_GB2312"/>
                <w:sz w:val="24"/>
                <w:szCs w:val="24"/>
              </w:rPr>
              <w:t>（1）该建设项目施工过程中产生扬尘的主要工序有：开挖基础，回填泥土，建筑材料运输、装卸、使用运输车辆行驶等过程都产生扬尘。工地扬尘不但直接危害现场工人的身体健康，并且扬尘随风飘移也会对周围自然环境造成一定的不良影响。</w:t>
            </w:r>
          </w:p>
          <w:p>
            <w:pPr>
              <w:spacing w:line="360" w:lineRule="auto"/>
              <w:ind w:firstLine="480" w:firstLineChars="200"/>
              <w:rPr>
                <w:rFonts w:hAnsi="仿宋_GB2312"/>
                <w:sz w:val="24"/>
                <w:szCs w:val="24"/>
              </w:rPr>
            </w:pPr>
            <w:r>
              <w:rPr>
                <w:rFonts w:hint="eastAsia" w:hAnsi="仿宋_GB2312"/>
                <w:sz w:val="24"/>
                <w:szCs w:val="24"/>
              </w:rPr>
              <w:t>（2）为减少项目施工期间扬尘对环境的影响，建议采取以下的环保措施：</w:t>
            </w:r>
          </w:p>
          <w:p>
            <w:pPr>
              <w:spacing w:line="360" w:lineRule="auto"/>
              <w:ind w:firstLine="640"/>
              <w:rPr>
                <w:rFonts w:hAnsi="仿宋_GB2312"/>
                <w:sz w:val="24"/>
                <w:szCs w:val="24"/>
              </w:rPr>
            </w:pPr>
            <w:r>
              <w:rPr>
                <w:rFonts w:hint="eastAsia" w:hAnsi="仿宋_GB2312"/>
                <w:sz w:val="24"/>
                <w:szCs w:val="24"/>
              </w:rPr>
              <w:t>①对产生扬尘工序的作业面加强洒水压制扬尘，保持作业面一定的湿度；对施工场地内松散、干枯的表土也应该常洒水；回填土方时，在表层土干燥时应适当洒水，减少扬尘产生。</w:t>
            </w:r>
          </w:p>
          <w:p>
            <w:pPr>
              <w:spacing w:line="360" w:lineRule="auto"/>
              <w:ind w:firstLine="640"/>
              <w:rPr>
                <w:rFonts w:hAnsi="仿宋_GB2312"/>
                <w:sz w:val="24"/>
                <w:szCs w:val="24"/>
              </w:rPr>
            </w:pPr>
            <w:r>
              <w:rPr>
                <w:rFonts w:hint="eastAsia" w:hAnsi="仿宋_GB2312"/>
                <w:sz w:val="24"/>
                <w:szCs w:val="24"/>
              </w:rPr>
              <w:t>②余泥、渣土、建筑材料等的运送车应加盖蓬盖，防止扬尘。</w:t>
            </w:r>
          </w:p>
          <w:p>
            <w:pPr>
              <w:spacing w:line="360" w:lineRule="auto"/>
              <w:ind w:firstLine="640"/>
              <w:rPr>
                <w:rFonts w:hAnsi="仿宋_GB2312"/>
                <w:sz w:val="24"/>
                <w:szCs w:val="24"/>
              </w:rPr>
            </w:pPr>
            <w:r>
              <w:rPr>
                <w:rFonts w:hint="eastAsia" w:hAnsi="仿宋_GB2312"/>
                <w:sz w:val="24"/>
                <w:szCs w:val="24"/>
              </w:rPr>
              <w:t>③对运输过程中落在路面上的泥土要及时清扫，减少车辆行驶过程中产生的扬尘。</w:t>
            </w:r>
          </w:p>
          <w:p>
            <w:pPr>
              <w:spacing w:line="360" w:lineRule="auto"/>
              <w:ind w:firstLine="640"/>
              <w:rPr>
                <w:rFonts w:hAnsi="仿宋_GB2312"/>
                <w:sz w:val="24"/>
                <w:szCs w:val="24"/>
              </w:rPr>
            </w:pPr>
            <w:r>
              <w:rPr>
                <w:rFonts w:hint="eastAsia" w:hAnsi="仿宋_GB2312"/>
                <w:sz w:val="24"/>
                <w:szCs w:val="24"/>
              </w:rPr>
              <w:t>施工期扬尘的情况随着施工阶段的不同而不同，其造成的污染影响是局部和短期的，施工结束后就会消失。</w:t>
            </w:r>
          </w:p>
          <w:p>
            <w:pPr>
              <w:snapToGrid w:val="0"/>
              <w:spacing w:line="360" w:lineRule="auto"/>
              <w:ind w:firstLine="626" w:firstLineChars="261"/>
              <w:rPr>
                <w:sz w:val="24"/>
                <w:szCs w:val="24"/>
              </w:rPr>
            </w:pPr>
            <w:r>
              <w:rPr>
                <w:rFonts w:hint="eastAsia" w:hAnsi="仿宋_GB2312"/>
                <w:sz w:val="24"/>
                <w:szCs w:val="24"/>
              </w:rPr>
              <w:t>（3）装修过程如使用甲醛、苯及苯系物、卤化物溶剂、含有重金属的颜料等，可对室内环境产生一定的影响。施工机械及车辆也会产生废气CO、氮氧化物、二氧化硫等，从而对大气环境产生影响。</w:t>
            </w:r>
            <w:r>
              <w:rPr>
                <w:spacing w:val="-7"/>
                <w:sz w:val="24"/>
                <w:szCs w:val="24"/>
              </w:rPr>
              <w:t>由于室内装修涂装面不大，装修期相对不连续，油漆有机溶剂释放较快，只要做好通风，基本不会对医院内</w:t>
            </w:r>
            <w:r>
              <w:rPr>
                <w:sz w:val="24"/>
                <w:szCs w:val="24"/>
              </w:rPr>
              <w:t>部已建成区及周围环境造成较大影响。</w:t>
            </w:r>
          </w:p>
          <w:p>
            <w:pPr>
              <w:snapToGrid w:val="0"/>
              <w:spacing w:line="360" w:lineRule="auto"/>
              <w:ind w:firstLine="640"/>
              <w:rPr>
                <w:rFonts w:hAnsi="仿宋_GB2312"/>
                <w:b/>
                <w:bCs/>
                <w:sz w:val="24"/>
                <w:szCs w:val="24"/>
              </w:rPr>
            </w:pPr>
            <w:r>
              <w:rPr>
                <w:rFonts w:hint="eastAsia" w:hAnsi="仿宋_GB2312"/>
                <w:b/>
                <w:bCs/>
                <w:sz w:val="24"/>
                <w:szCs w:val="24"/>
              </w:rPr>
              <w:t>2.施工期噪声</w:t>
            </w:r>
          </w:p>
          <w:p>
            <w:pPr>
              <w:spacing w:line="360" w:lineRule="auto"/>
              <w:ind w:firstLine="480" w:firstLineChars="200"/>
              <w:rPr>
                <w:rFonts w:hAnsi="仿宋_GB2312"/>
                <w:sz w:val="24"/>
                <w:szCs w:val="24"/>
              </w:rPr>
            </w:pPr>
            <w:r>
              <w:rPr>
                <w:rFonts w:hint="eastAsia" w:hAnsi="仿宋_GB2312"/>
                <w:sz w:val="24"/>
                <w:szCs w:val="24"/>
              </w:rPr>
              <w:t>（1）施工机械噪声</w:t>
            </w:r>
          </w:p>
          <w:p>
            <w:pPr>
              <w:spacing w:line="360" w:lineRule="auto"/>
              <w:ind w:firstLine="480" w:firstLineChars="200"/>
              <w:rPr>
                <w:rFonts w:hAnsi="仿宋_GB2312"/>
                <w:sz w:val="24"/>
                <w:szCs w:val="24"/>
              </w:rPr>
            </w:pPr>
            <w:r>
              <w:rPr>
                <w:rFonts w:hint="eastAsia" w:hAnsi="仿宋_GB2312"/>
                <w:sz w:val="24"/>
                <w:szCs w:val="24"/>
              </w:rPr>
              <w:t>施工机械如搅拌机、打桩机、推土机等产生的噪声较大。选址用地周边邻近居民，对噪声较为敏感。项目各施工阶段特别是土石阶段和基础阶段周边住宅区会受到较为明显的施工噪声影响。备用发电机采用消音、吸音、隔音和减震的有效措施降低噪音的强度，确保边界噪音达到</w:t>
            </w:r>
            <w:r>
              <w:rPr>
                <w:rFonts w:hint="eastAsia" w:hAnsi="仿宋_GB2312"/>
                <w:color w:val="000000" w:themeColor="text1"/>
                <w:sz w:val="24"/>
                <w:szCs w:val="24"/>
                <w14:textFill>
                  <w14:solidFill>
                    <w14:schemeClr w14:val="tx1"/>
                  </w14:solidFill>
                </w14:textFill>
              </w:rPr>
              <w:t>《建筑施工场界环境噪声排放标准》（</w:t>
            </w:r>
            <w:r>
              <w:rPr>
                <w:rFonts w:hAnsi="仿宋_GB2312"/>
                <w:color w:val="000000" w:themeColor="text1"/>
                <w:sz w:val="24"/>
                <w:szCs w:val="24"/>
                <w14:textFill>
                  <w14:solidFill>
                    <w14:schemeClr w14:val="tx1"/>
                  </w14:solidFill>
                </w14:textFill>
              </w:rPr>
              <w:t>GB12523-2011</w:t>
            </w:r>
            <w:r>
              <w:rPr>
                <w:rFonts w:hint="eastAsia" w:hAnsi="仿宋_GB2312"/>
                <w:color w:val="000000" w:themeColor="text1"/>
                <w:sz w:val="24"/>
                <w:szCs w:val="24"/>
                <w14:textFill>
                  <w14:solidFill>
                    <w14:schemeClr w14:val="tx1"/>
                  </w14:solidFill>
                </w14:textFill>
              </w:rPr>
              <w:t>）</w:t>
            </w:r>
            <w:r>
              <w:rPr>
                <w:rFonts w:hint="eastAsia" w:hAnsi="仿宋_GB2312"/>
                <w:sz w:val="24"/>
                <w:szCs w:val="24"/>
              </w:rPr>
              <w:t>要求。</w:t>
            </w:r>
          </w:p>
          <w:p>
            <w:pPr>
              <w:spacing w:line="360" w:lineRule="auto"/>
              <w:ind w:firstLine="480" w:firstLineChars="200"/>
              <w:rPr>
                <w:rFonts w:hAnsi="仿宋_GB2312"/>
                <w:sz w:val="24"/>
                <w:szCs w:val="24"/>
              </w:rPr>
            </w:pPr>
            <w:r>
              <w:rPr>
                <w:rFonts w:hint="eastAsia" w:hAnsi="仿宋_GB2312"/>
                <w:sz w:val="24"/>
                <w:szCs w:val="24"/>
              </w:rPr>
              <w:t>（2）运输噪声</w:t>
            </w:r>
          </w:p>
          <w:p>
            <w:pPr>
              <w:spacing w:line="360" w:lineRule="auto"/>
              <w:ind w:firstLine="480" w:firstLineChars="200"/>
              <w:rPr>
                <w:rFonts w:hAnsi="仿宋_GB2312"/>
                <w:sz w:val="24"/>
                <w:szCs w:val="24"/>
              </w:rPr>
            </w:pPr>
            <w:r>
              <w:rPr>
                <w:rFonts w:hint="eastAsia" w:hAnsi="仿宋_GB2312"/>
                <w:sz w:val="24"/>
                <w:szCs w:val="24"/>
              </w:rPr>
              <w:t>根据对工程数量的分析，扩建项目需要运输量比较大，但总体比较分散，比较集中的是在土建阶段。在这些车辆往返经过的路段，交通噪声对沿线的声环境有一定影响。</w:t>
            </w:r>
          </w:p>
          <w:p>
            <w:pPr>
              <w:spacing w:line="360" w:lineRule="auto"/>
              <w:ind w:firstLine="480" w:firstLineChars="200"/>
              <w:rPr>
                <w:rFonts w:hAnsi="仿宋_GB2312"/>
                <w:sz w:val="24"/>
                <w:szCs w:val="24"/>
              </w:rPr>
            </w:pPr>
            <w:r>
              <w:rPr>
                <w:rFonts w:hint="eastAsia" w:hAnsi="仿宋_GB2312"/>
                <w:sz w:val="24"/>
                <w:szCs w:val="24"/>
              </w:rPr>
              <w:t>声环境的影响是暂时的，随着施工期的结束或施工机械的停运而结束。</w:t>
            </w:r>
          </w:p>
          <w:p>
            <w:pPr>
              <w:snapToGrid w:val="0"/>
              <w:spacing w:line="360" w:lineRule="auto"/>
              <w:ind w:firstLine="482" w:firstLineChars="200"/>
              <w:rPr>
                <w:rFonts w:hAnsi="仿宋_GB2312"/>
                <w:b/>
                <w:bCs/>
                <w:sz w:val="24"/>
                <w:szCs w:val="24"/>
              </w:rPr>
            </w:pPr>
            <w:r>
              <w:rPr>
                <w:rFonts w:hint="eastAsia" w:hAnsi="仿宋_GB2312"/>
                <w:b/>
                <w:bCs/>
                <w:sz w:val="24"/>
                <w:szCs w:val="24"/>
              </w:rPr>
              <w:t>3.施工期水污染</w:t>
            </w:r>
          </w:p>
          <w:p>
            <w:pPr>
              <w:snapToGrid w:val="0"/>
              <w:spacing w:line="360" w:lineRule="auto"/>
              <w:ind w:firstLine="464" w:firstLineChars="200"/>
              <w:rPr>
                <w:sz w:val="24"/>
                <w:szCs w:val="24"/>
              </w:rPr>
            </w:pPr>
            <w:r>
              <w:rPr>
                <w:spacing w:val="-4"/>
                <w:sz w:val="24"/>
                <w:szCs w:val="24"/>
              </w:rPr>
              <w:t>土建施工阶段用水主要由以下四个方面构成：①施工现场浇注、养护用水，占总</w:t>
            </w:r>
            <w:r>
              <w:rPr>
                <w:spacing w:val="-15"/>
                <w:sz w:val="24"/>
                <w:szCs w:val="24"/>
              </w:rPr>
              <w:t xml:space="preserve">用水量的 </w:t>
            </w:r>
            <w:r>
              <w:rPr>
                <w:rFonts w:eastAsia="Times New Roman"/>
                <w:spacing w:val="-4"/>
                <w:sz w:val="24"/>
                <w:szCs w:val="24"/>
              </w:rPr>
              <w:t>50%</w:t>
            </w:r>
            <w:r>
              <w:rPr>
                <w:spacing w:val="-8"/>
                <w:sz w:val="24"/>
                <w:szCs w:val="24"/>
              </w:rPr>
              <w:t>；②环保喷洒水；③施工机械设备冲洗水；④施工人员生活用水。废水</w:t>
            </w:r>
            <w:r>
              <w:rPr>
                <w:spacing w:val="-10"/>
                <w:position w:val="2"/>
                <w:sz w:val="24"/>
                <w:szCs w:val="24"/>
              </w:rPr>
              <w:t xml:space="preserve">主要为施工人员的生活废水和施工废水，其主要污染因子为 </w:t>
            </w:r>
            <w:r>
              <w:rPr>
                <w:rFonts w:eastAsia="Times New Roman"/>
                <w:position w:val="2"/>
                <w:sz w:val="24"/>
                <w:szCs w:val="24"/>
              </w:rPr>
              <w:t>COD</w:t>
            </w:r>
            <w:r>
              <w:rPr>
                <w:rFonts w:eastAsia="Times New Roman"/>
                <w:position w:val="2"/>
                <w:sz w:val="24"/>
                <w:szCs w:val="24"/>
                <w:vertAlign w:val="subscript"/>
              </w:rPr>
              <w:t>Cr</w:t>
            </w:r>
            <w:r>
              <w:rPr>
                <w:position w:val="2"/>
                <w:sz w:val="24"/>
                <w:szCs w:val="24"/>
              </w:rPr>
              <w:t>、</w:t>
            </w:r>
            <w:r>
              <w:rPr>
                <w:rFonts w:eastAsia="Times New Roman"/>
                <w:position w:val="2"/>
                <w:sz w:val="24"/>
                <w:szCs w:val="24"/>
              </w:rPr>
              <w:t>NH</w:t>
            </w:r>
            <w:r>
              <w:rPr>
                <w:rFonts w:eastAsia="Times New Roman"/>
                <w:position w:val="2"/>
                <w:sz w:val="24"/>
                <w:szCs w:val="24"/>
                <w:vertAlign w:val="subscript"/>
              </w:rPr>
              <w:t>3</w:t>
            </w:r>
            <w:r>
              <w:rPr>
                <w:rFonts w:eastAsia="Times New Roman"/>
                <w:position w:val="2"/>
                <w:sz w:val="24"/>
                <w:szCs w:val="24"/>
              </w:rPr>
              <w:t>-N</w:t>
            </w:r>
            <w:r>
              <w:rPr>
                <w:position w:val="2"/>
                <w:sz w:val="24"/>
                <w:szCs w:val="24"/>
              </w:rPr>
              <w:t>、</w:t>
            </w:r>
            <w:r>
              <w:rPr>
                <w:rFonts w:eastAsia="Times New Roman"/>
                <w:position w:val="2"/>
                <w:sz w:val="24"/>
                <w:szCs w:val="24"/>
              </w:rPr>
              <w:t>SS</w:t>
            </w:r>
            <w:r>
              <w:rPr>
                <w:position w:val="2"/>
                <w:sz w:val="24"/>
                <w:szCs w:val="24"/>
              </w:rPr>
              <w:t>。</w:t>
            </w:r>
            <w:r>
              <w:rPr>
                <w:spacing w:val="-4"/>
                <w:sz w:val="24"/>
                <w:szCs w:val="24"/>
              </w:rPr>
              <w:t xml:space="preserve">施工高峰期施工人员有 </w:t>
            </w:r>
            <w:r>
              <w:rPr>
                <w:rFonts w:hint="eastAsia"/>
                <w:spacing w:val="-4"/>
                <w:sz w:val="24"/>
                <w:szCs w:val="24"/>
              </w:rPr>
              <w:t>30</w:t>
            </w:r>
            <w:r>
              <w:rPr>
                <w:rFonts w:eastAsia="Times New Roman"/>
                <w:sz w:val="24"/>
                <w:szCs w:val="24"/>
              </w:rPr>
              <w:t xml:space="preserve"> </w:t>
            </w:r>
            <w:r>
              <w:rPr>
                <w:sz w:val="24"/>
                <w:szCs w:val="24"/>
              </w:rPr>
              <w:t>人</w:t>
            </w:r>
            <w:r>
              <w:rPr>
                <w:rFonts w:hint="eastAsia"/>
                <w:sz w:val="24"/>
                <w:szCs w:val="24"/>
              </w:rPr>
              <w:t>左右</w:t>
            </w:r>
            <w:r>
              <w:rPr>
                <w:sz w:val="24"/>
                <w:szCs w:val="24"/>
              </w:rPr>
              <w:t>，由于项目位于乡镇地区，施工人员均为当地劳动</w:t>
            </w:r>
            <w:r>
              <w:rPr>
                <w:spacing w:val="-5"/>
                <w:sz w:val="24"/>
                <w:szCs w:val="24"/>
              </w:rPr>
              <w:t>力，就餐采用订餐外送制，现场不设施工人员生活营地，施工人员的日常如厕活动依托</w:t>
            </w:r>
            <w:r>
              <w:rPr>
                <w:rFonts w:hint="eastAsia" w:ascii="宋体" w:hAnsi="宋体" w:cs="宋体"/>
                <w:sz w:val="24"/>
                <w:szCs w:val="24"/>
              </w:rPr>
              <w:t>连州市慢性病防治院</w:t>
            </w:r>
            <w:r>
              <w:rPr>
                <w:rFonts w:hint="eastAsia"/>
                <w:spacing w:val="-5"/>
                <w:sz w:val="24"/>
                <w:szCs w:val="24"/>
              </w:rPr>
              <w:t>现有设施</w:t>
            </w:r>
            <w:r>
              <w:rPr>
                <w:spacing w:val="-5"/>
                <w:sz w:val="24"/>
                <w:szCs w:val="24"/>
              </w:rPr>
              <w:t>。</w:t>
            </w:r>
            <w:r>
              <w:rPr>
                <w:spacing w:val="-9"/>
                <w:sz w:val="24"/>
                <w:szCs w:val="24"/>
              </w:rPr>
              <w:t>施工废水包括砂石冲洗水、混凝土养护水、设备车辆冲洗水、冲桩废水</w:t>
            </w:r>
            <w:r>
              <w:rPr>
                <w:sz w:val="24"/>
                <w:szCs w:val="24"/>
              </w:rPr>
              <w:t>（黄泥水）</w:t>
            </w:r>
            <w:r>
              <w:rPr>
                <w:spacing w:val="-7"/>
                <w:sz w:val="24"/>
                <w:szCs w:val="24"/>
              </w:rPr>
              <w:t xml:space="preserve">等，废水产生量约 </w:t>
            </w:r>
            <w:r>
              <w:rPr>
                <w:rFonts w:hint="eastAsia"/>
                <w:spacing w:val="-7"/>
                <w:sz w:val="24"/>
                <w:szCs w:val="24"/>
              </w:rPr>
              <w:t>20</w:t>
            </w:r>
            <w:r>
              <w:rPr>
                <w:rFonts w:eastAsia="Times New Roman"/>
                <w:sz w:val="24"/>
                <w:szCs w:val="24"/>
              </w:rPr>
              <w:t>t/d</w:t>
            </w:r>
            <w:r>
              <w:rPr>
                <w:sz w:val="24"/>
                <w:szCs w:val="24"/>
              </w:rPr>
              <w:t>，废水中含有大量的泥沙与悬浮物（</w:t>
            </w:r>
            <w:r>
              <w:rPr>
                <w:spacing w:val="-15"/>
                <w:sz w:val="24"/>
                <w:szCs w:val="24"/>
              </w:rPr>
              <w:t xml:space="preserve">浓度在 </w:t>
            </w:r>
            <w:r>
              <w:rPr>
                <w:rFonts w:eastAsia="Times New Roman"/>
                <w:sz w:val="24"/>
                <w:szCs w:val="24"/>
              </w:rPr>
              <w:t>600m</w:t>
            </w:r>
            <w:r>
              <w:rPr>
                <w:rFonts w:eastAsia="Times New Roman"/>
                <w:spacing w:val="-3"/>
                <w:sz w:val="24"/>
                <w:szCs w:val="24"/>
              </w:rPr>
              <w:t>g</w:t>
            </w:r>
            <w:r>
              <w:rPr>
                <w:rFonts w:eastAsia="Times New Roman"/>
                <w:sz w:val="24"/>
                <w:szCs w:val="24"/>
              </w:rPr>
              <w:t xml:space="preserve">/L </w:t>
            </w:r>
            <w:r>
              <w:rPr>
                <w:sz w:val="24"/>
                <w:szCs w:val="24"/>
              </w:rPr>
              <w:t>左</w:t>
            </w:r>
            <w:r>
              <w:rPr>
                <w:rFonts w:hint="eastAsia"/>
                <w:sz w:val="24"/>
                <w:szCs w:val="24"/>
              </w:rPr>
              <w:t>右），</w:t>
            </w:r>
            <w:r>
              <w:rPr>
                <w:spacing w:val="-4"/>
                <w:sz w:val="24"/>
                <w:szCs w:val="24"/>
              </w:rPr>
              <w:t>另有少量油污，基本无有机污染物。施工废水需经隔油、沉淀池处理后回用于施工场地裸地和土方的洒水抑尘，不外排。</w:t>
            </w:r>
            <w:r>
              <w:rPr>
                <w:sz w:val="24"/>
                <w:szCs w:val="24"/>
              </w:rPr>
              <w:t>只要采取以上措施，落实严格管理，施工阶段的污水不会对环境产生很大影响。</w:t>
            </w:r>
          </w:p>
          <w:p>
            <w:pPr>
              <w:spacing w:line="360" w:lineRule="auto"/>
              <w:ind w:firstLine="482" w:firstLineChars="200"/>
              <w:rPr>
                <w:rFonts w:hAnsi="仿宋_GB2312"/>
                <w:b/>
                <w:bCs/>
                <w:sz w:val="24"/>
                <w:szCs w:val="24"/>
              </w:rPr>
            </w:pPr>
            <w:r>
              <w:rPr>
                <w:rFonts w:hint="eastAsia" w:hAnsi="仿宋_GB2312"/>
                <w:b/>
                <w:bCs/>
                <w:sz w:val="24"/>
                <w:szCs w:val="24"/>
              </w:rPr>
              <w:t>4.固体废弃物</w:t>
            </w:r>
          </w:p>
          <w:p>
            <w:pPr>
              <w:spacing w:line="360" w:lineRule="auto"/>
              <w:ind w:firstLine="480" w:firstLineChars="200"/>
              <w:rPr>
                <w:sz w:val="24"/>
                <w:szCs w:val="24"/>
              </w:rPr>
            </w:pPr>
            <w:r>
              <w:rPr>
                <w:rFonts w:hint="eastAsia"/>
                <w:sz w:val="24"/>
                <w:szCs w:val="24"/>
              </w:rPr>
              <w:t>该建设</w:t>
            </w:r>
            <w:r>
              <w:rPr>
                <w:sz w:val="24"/>
                <w:szCs w:val="24"/>
              </w:rPr>
              <w:t>项目施工期产生的固体废弃物主要为施工人员日常生活产生的生活垃圾和施工中的建筑垃圾及弃土。</w:t>
            </w:r>
          </w:p>
          <w:p>
            <w:pPr>
              <w:pStyle w:val="65"/>
              <w:numPr>
                <w:ilvl w:val="0"/>
                <w:numId w:val="0"/>
              </w:numPr>
              <w:spacing w:line="360" w:lineRule="auto"/>
              <w:ind w:firstLine="480" w:firstLineChars="200"/>
              <w:rPr>
                <w:sz w:val="24"/>
              </w:rPr>
            </w:pPr>
            <w:r>
              <w:rPr>
                <w:rFonts w:hint="eastAsia"/>
                <w:sz w:val="24"/>
                <w:lang w:eastAsia="zh-CN"/>
              </w:rPr>
              <w:t>（</w:t>
            </w:r>
            <w:r>
              <w:rPr>
                <w:rFonts w:hint="eastAsia"/>
                <w:sz w:val="24"/>
                <w:lang w:val="en-US" w:eastAsia="zh-CN"/>
              </w:rPr>
              <w:t>1）</w:t>
            </w:r>
            <w:r>
              <w:rPr>
                <w:rFonts w:hint="eastAsia"/>
                <w:sz w:val="24"/>
              </w:rPr>
              <w:t>生活垃圾</w:t>
            </w:r>
          </w:p>
          <w:p>
            <w:pPr>
              <w:spacing w:line="360" w:lineRule="auto"/>
              <w:ind w:firstLine="464" w:firstLineChars="200"/>
              <w:rPr>
                <w:spacing w:val="-5"/>
                <w:sz w:val="24"/>
              </w:rPr>
            </w:pPr>
            <w:r>
              <w:rPr>
                <w:rFonts w:hint="eastAsia"/>
                <w:spacing w:val="-4"/>
                <w:sz w:val="24"/>
              </w:rPr>
              <w:t>施工人员产生的固体废弃物按人均</w:t>
            </w:r>
            <w:r>
              <w:rPr>
                <w:spacing w:val="-4"/>
                <w:sz w:val="24"/>
              </w:rPr>
              <w:t xml:space="preserve"> </w:t>
            </w:r>
            <w:r>
              <w:rPr>
                <w:rFonts w:eastAsia="Times New Roman"/>
                <w:sz w:val="24"/>
              </w:rPr>
              <w:t xml:space="preserve">1kg/d </w:t>
            </w:r>
            <w:r>
              <w:rPr>
                <w:rFonts w:hint="eastAsia"/>
                <w:spacing w:val="-25"/>
                <w:sz w:val="24"/>
              </w:rPr>
              <w:t>计，</w:t>
            </w:r>
            <w:r>
              <w:rPr>
                <w:rFonts w:hint="eastAsia"/>
                <w:spacing w:val="-4"/>
                <w:sz w:val="24"/>
              </w:rPr>
              <w:t>在本项目</w:t>
            </w:r>
            <w:r>
              <w:rPr>
                <w:spacing w:val="-25"/>
                <w:sz w:val="24"/>
              </w:rPr>
              <w:t xml:space="preserve"> </w:t>
            </w:r>
            <w:r>
              <w:rPr>
                <w:sz w:val="24"/>
              </w:rPr>
              <w:t>30</w:t>
            </w:r>
            <w:r>
              <w:rPr>
                <w:rFonts w:eastAsia="Times New Roman"/>
                <w:sz w:val="24"/>
              </w:rPr>
              <w:t xml:space="preserve"> </w:t>
            </w:r>
            <w:r>
              <w:rPr>
                <w:rFonts w:hint="eastAsia"/>
                <w:sz w:val="24"/>
              </w:rPr>
              <w:t>个左右施工人员的情况</w:t>
            </w:r>
            <w:r>
              <w:rPr>
                <w:rFonts w:hint="eastAsia"/>
                <w:spacing w:val="-7"/>
                <w:sz w:val="24"/>
              </w:rPr>
              <w:t>下，施工人员的固体废弃物的产生量为</w:t>
            </w:r>
            <w:r>
              <w:rPr>
                <w:spacing w:val="-7"/>
                <w:sz w:val="24"/>
              </w:rPr>
              <w:t xml:space="preserve"> </w:t>
            </w:r>
            <w:r>
              <w:rPr>
                <w:spacing w:val="-3"/>
                <w:sz w:val="24"/>
              </w:rPr>
              <w:t>3</w:t>
            </w:r>
            <w:r>
              <w:rPr>
                <w:rFonts w:eastAsia="Times New Roman"/>
                <w:spacing w:val="-3"/>
                <w:sz w:val="24"/>
              </w:rPr>
              <w:t>0kg/d</w:t>
            </w:r>
            <w:r>
              <w:rPr>
                <w:rFonts w:hint="eastAsia"/>
                <w:spacing w:val="-5"/>
                <w:sz w:val="24"/>
              </w:rPr>
              <w:t>，数量不大。建筑单位应该要求施工单位加强管理，设临时垃圾箱妥善安排收集，生活垃圾</w:t>
            </w:r>
            <w:r>
              <w:rPr>
                <w:rFonts w:hint="eastAsia"/>
                <w:spacing w:val="-5"/>
                <w:sz w:val="24"/>
              </w:rPr>
              <w:t>交由</w:t>
            </w:r>
            <w:r>
              <w:rPr>
                <w:rFonts w:hint="eastAsia"/>
                <w:spacing w:val="-5"/>
                <w:sz w:val="24"/>
              </w:rPr>
              <w:t>环卫部门处理。</w:t>
            </w:r>
          </w:p>
          <w:p>
            <w:pPr>
              <w:pStyle w:val="65"/>
              <w:numPr>
                <w:ilvl w:val="0"/>
                <w:numId w:val="0"/>
              </w:numPr>
              <w:spacing w:line="360" w:lineRule="auto"/>
              <w:ind w:firstLine="480" w:firstLineChars="200"/>
              <w:rPr>
                <w:sz w:val="24"/>
              </w:rPr>
            </w:pPr>
            <w:r>
              <w:rPr>
                <w:rFonts w:hint="eastAsia"/>
                <w:sz w:val="24"/>
                <w:lang w:eastAsia="zh-CN"/>
              </w:rPr>
              <w:t>（</w:t>
            </w:r>
            <w:r>
              <w:rPr>
                <w:rFonts w:hint="eastAsia"/>
                <w:sz w:val="24"/>
                <w:lang w:val="en-US" w:eastAsia="zh-CN"/>
              </w:rPr>
              <w:t>2）</w:t>
            </w:r>
            <w:r>
              <w:rPr>
                <w:rFonts w:hint="eastAsia"/>
                <w:sz w:val="24"/>
              </w:rPr>
              <w:t>建筑垃圾</w:t>
            </w:r>
          </w:p>
          <w:p>
            <w:pPr>
              <w:spacing w:line="360" w:lineRule="auto"/>
              <w:ind w:firstLine="464" w:firstLineChars="200"/>
              <w:rPr>
                <w:spacing w:val="-4"/>
                <w:sz w:val="24"/>
              </w:rPr>
            </w:pPr>
            <w:r>
              <w:rPr>
                <w:rFonts w:hint="eastAsia"/>
                <w:spacing w:val="-4"/>
                <w:sz w:val="24"/>
              </w:rPr>
              <w:t>建筑垃圾主要包括废木料、废钢材、塑料、废包装袋等，这些固废应尽量回收再利用，严禁随意倾倒，</w:t>
            </w:r>
            <w:r>
              <w:rPr>
                <w:rFonts w:hint="eastAsia"/>
                <w:color w:val="000000" w:themeColor="text1"/>
                <w:spacing w:val="-4"/>
                <w:sz w:val="24"/>
                <w14:textFill>
                  <w14:solidFill>
                    <w14:schemeClr w14:val="tx1"/>
                  </w14:solidFill>
                </w14:textFill>
              </w:rPr>
              <w:t>对不能利用的垃圾需按照</w:t>
            </w:r>
            <w:r>
              <w:rPr>
                <w:rFonts w:hint="eastAsia"/>
                <w:spacing w:val="-4"/>
                <w:sz w:val="24"/>
              </w:rPr>
              <w:t>当地</w:t>
            </w:r>
            <w:r>
              <w:rPr>
                <w:rFonts w:hint="eastAsia"/>
                <w:color w:val="000000" w:themeColor="text1"/>
                <w:spacing w:val="-4"/>
                <w:sz w:val="24"/>
                <w14:textFill>
                  <w14:solidFill>
                    <w14:schemeClr w14:val="tx1"/>
                  </w14:solidFill>
                </w14:textFill>
              </w:rPr>
              <w:t>市政管理部门的要求统一处置</w:t>
            </w:r>
            <w:r>
              <w:rPr>
                <w:rFonts w:hint="eastAsia"/>
                <w:spacing w:val="-4"/>
                <w:sz w:val="24"/>
              </w:rPr>
              <w:t>。</w:t>
            </w:r>
            <w:bookmarkStart w:id="6" w:name="_bookmark24"/>
            <w:bookmarkEnd w:id="6"/>
          </w:p>
          <w:p>
            <w:pPr>
              <w:pStyle w:val="65"/>
              <w:numPr>
                <w:ilvl w:val="0"/>
                <w:numId w:val="0"/>
              </w:numPr>
              <w:spacing w:line="360" w:lineRule="auto"/>
              <w:ind w:firstLine="480" w:firstLineChars="200"/>
              <w:rPr>
                <w:sz w:val="24"/>
              </w:rPr>
            </w:pPr>
            <w:r>
              <w:rPr>
                <w:rFonts w:hint="eastAsia"/>
                <w:sz w:val="24"/>
                <w:lang w:eastAsia="zh-CN"/>
              </w:rPr>
              <w:t>（</w:t>
            </w:r>
            <w:r>
              <w:rPr>
                <w:rFonts w:hint="eastAsia"/>
                <w:sz w:val="24"/>
                <w:lang w:val="en-US" w:eastAsia="zh-CN"/>
              </w:rPr>
              <w:t>3）</w:t>
            </w:r>
            <w:r>
              <w:rPr>
                <w:rFonts w:hint="eastAsia"/>
                <w:sz w:val="24"/>
              </w:rPr>
              <w:t>弃土</w:t>
            </w:r>
          </w:p>
          <w:p>
            <w:pPr>
              <w:spacing w:line="360" w:lineRule="auto"/>
              <w:ind w:firstLine="484" w:firstLineChars="200"/>
              <w:rPr>
                <w:sz w:val="24"/>
              </w:rPr>
            </w:pPr>
            <w:r>
              <w:rPr>
                <w:rFonts w:hint="eastAsia"/>
                <w:spacing w:val="1"/>
                <w:sz w:val="24"/>
              </w:rPr>
              <w:t>本</w:t>
            </w:r>
            <w:r>
              <w:rPr>
                <w:rFonts w:hint="eastAsia"/>
                <w:spacing w:val="1"/>
                <w:sz w:val="24"/>
              </w:rPr>
              <w:t>扩建</w:t>
            </w:r>
            <w:r>
              <w:rPr>
                <w:rFonts w:hint="eastAsia"/>
                <w:spacing w:val="1"/>
                <w:sz w:val="24"/>
              </w:rPr>
              <w:t>项目施工期间抛弃的废土妥善堆积在施工场界内，待建设完成后作为绿化用</w:t>
            </w:r>
            <w:r>
              <w:rPr>
                <w:rFonts w:hint="eastAsia"/>
                <w:spacing w:val="-6"/>
                <w:sz w:val="24"/>
              </w:rPr>
              <w:t>土，深层土也可堆在空地，作为假山等堆积土，尽量做到土方的平衡，以减少废土的运输量，也可减少施工粉尘的排放。</w:t>
            </w:r>
          </w:p>
          <w:p>
            <w:pPr>
              <w:pStyle w:val="18"/>
              <w:spacing w:before="2" w:line="360" w:lineRule="auto"/>
              <w:ind w:firstLine="480" w:firstLineChars="200"/>
              <w:rPr>
                <w:bCs/>
                <w:color w:val="000000"/>
                <w:spacing w:val="-10"/>
                <w:szCs w:val="21"/>
              </w:rPr>
            </w:pPr>
            <w:r>
              <w:rPr>
                <w:sz w:val="24"/>
                <w:szCs w:val="24"/>
              </w:rPr>
              <w:t>只要加强施工管理，固体废弃物对周围环境影响甚微。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367" w:type="dxa"/>
            <w:tcMar>
              <w:left w:w="28" w:type="dxa"/>
              <w:right w:w="28" w:type="dxa"/>
            </w:tcMar>
            <w:vAlign w:val="center"/>
          </w:tcPr>
          <w:p>
            <w:pPr>
              <w:adjustRightInd w:val="0"/>
              <w:snapToGrid w:val="0"/>
              <w:jc w:val="center"/>
              <w:rPr>
                <w:bCs/>
                <w:color w:val="000000"/>
              </w:rPr>
            </w:pPr>
            <w:r>
              <w:rPr>
                <w:bCs/>
                <w:color w:val="000000"/>
              </w:rPr>
              <w:t>运营</w:t>
            </w:r>
          </w:p>
          <w:p>
            <w:pPr>
              <w:adjustRightInd w:val="0"/>
              <w:snapToGrid w:val="0"/>
              <w:jc w:val="center"/>
              <w:rPr>
                <w:bCs/>
                <w:color w:val="000000"/>
              </w:rPr>
            </w:pPr>
            <w:r>
              <w:rPr>
                <w:bCs/>
                <w:color w:val="000000"/>
              </w:rPr>
              <w:t>期环</w:t>
            </w:r>
          </w:p>
          <w:p>
            <w:pPr>
              <w:adjustRightInd w:val="0"/>
              <w:snapToGrid w:val="0"/>
              <w:jc w:val="center"/>
              <w:rPr>
                <w:bCs/>
                <w:color w:val="000000"/>
              </w:rPr>
            </w:pPr>
            <w:r>
              <w:rPr>
                <w:bCs/>
                <w:color w:val="000000"/>
              </w:rPr>
              <w:t>境影</w:t>
            </w:r>
          </w:p>
          <w:p>
            <w:pPr>
              <w:adjustRightInd w:val="0"/>
              <w:snapToGrid w:val="0"/>
              <w:jc w:val="center"/>
              <w:rPr>
                <w:bCs/>
                <w:color w:val="000000"/>
              </w:rPr>
            </w:pPr>
            <w:r>
              <w:rPr>
                <w:bCs/>
                <w:color w:val="000000"/>
              </w:rPr>
              <w:t>响和</w:t>
            </w:r>
          </w:p>
          <w:p>
            <w:pPr>
              <w:adjustRightInd w:val="0"/>
              <w:snapToGrid w:val="0"/>
              <w:jc w:val="center"/>
              <w:rPr>
                <w:bCs/>
                <w:color w:val="000000"/>
              </w:rPr>
            </w:pPr>
            <w:r>
              <w:rPr>
                <w:bCs/>
                <w:color w:val="000000"/>
              </w:rPr>
              <w:t>保护</w:t>
            </w:r>
          </w:p>
          <w:p>
            <w:pPr>
              <w:adjustRightInd w:val="0"/>
              <w:snapToGrid w:val="0"/>
              <w:jc w:val="center"/>
              <w:rPr>
                <w:bCs/>
                <w:color w:val="000000"/>
              </w:rPr>
            </w:pPr>
            <w:r>
              <w:rPr>
                <w:bCs/>
                <w:color w:val="000000"/>
              </w:rPr>
              <w:t>措施</w:t>
            </w:r>
          </w:p>
        </w:tc>
        <w:tc>
          <w:tcPr>
            <w:tcW w:w="8614" w:type="dxa"/>
            <w:vAlign w:val="center"/>
          </w:tcPr>
          <w:p>
            <w:pPr>
              <w:spacing w:before="240" w:line="360" w:lineRule="auto"/>
              <w:rPr>
                <w:b/>
                <w:bCs/>
                <w:color w:val="000000"/>
                <w:sz w:val="24"/>
              </w:rPr>
            </w:pPr>
            <w:r>
              <w:rPr>
                <w:rFonts w:hint="eastAsia"/>
                <w:b/>
                <w:bCs/>
                <w:color w:val="000000"/>
                <w:sz w:val="24"/>
              </w:rPr>
              <w:t>一、</w:t>
            </w:r>
            <w:r>
              <w:rPr>
                <w:b/>
                <w:bCs/>
                <w:color w:val="000000"/>
                <w:sz w:val="24"/>
              </w:rPr>
              <w:t>废</w:t>
            </w:r>
            <w:r>
              <w:rPr>
                <w:rFonts w:hint="eastAsia"/>
                <w:b/>
                <w:bCs/>
                <w:color w:val="000000"/>
                <w:sz w:val="24"/>
              </w:rPr>
              <w:t>气</w:t>
            </w:r>
          </w:p>
          <w:p>
            <w:pPr>
              <w:spacing w:line="360" w:lineRule="auto"/>
              <w:ind w:firstLine="480"/>
              <w:rPr>
                <w:bCs/>
                <w:snapToGrid w:val="0"/>
                <w:color w:val="000000"/>
                <w:kern w:val="0"/>
                <w:sz w:val="24"/>
                <w:szCs w:val="20"/>
              </w:rPr>
            </w:pPr>
            <w:r>
              <w:rPr>
                <w:bCs/>
                <w:snapToGrid w:val="0"/>
                <w:color w:val="000000"/>
                <w:kern w:val="0"/>
                <w:sz w:val="24"/>
                <w:szCs w:val="20"/>
              </w:rPr>
              <w:t>根据该项目的建设内容，项目废气主要为</w:t>
            </w:r>
            <w:r>
              <w:rPr>
                <w:rFonts w:hint="eastAsia"/>
                <w:bCs/>
                <w:snapToGrid w:val="0"/>
                <w:color w:val="000000"/>
                <w:kern w:val="0"/>
                <w:sz w:val="24"/>
                <w:szCs w:val="20"/>
              </w:rPr>
              <w:t>汽车尾气、污水处理站恶臭、柴油发电机然油废气和餐厨油烟</w:t>
            </w:r>
            <w:r>
              <w:rPr>
                <w:bCs/>
                <w:snapToGrid w:val="0"/>
                <w:color w:val="000000"/>
                <w:kern w:val="0"/>
                <w:sz w:val="24"/>
                <w:szCs w:val="20"/>
              </w:rPr>
              <w:t>等。</w:t>
            </w:r>
          </w:p>
          <w:p>
            <w:pPr>
              <w:pStyle w:val="6"/>
              <w:spacing w:before="5" w:line="360" w:lineRule="auto"/>
              <w:ind w:firstLine="480" w:firstLineChars="200"/>
            </w:pPr>
            <w:r>
              <w:rPr>
                <w:rFonts w:ascii="Times New Roman" w:eastAsia="Times New Roman"/>
              </w:rPr>
              <w:t>1</w:t>
            </w:r>
            <w:r>
              <w:t>、医疗废水处理站废气</w:t>
            </w:r>
          </w:p>
          <w:p>
            <w:pPr>
              <w:pStyle w:val="79"/>
              <w:ind w:firstLine="480"/>
              <w:rPr>
                <w:b/>
                <w:bCs/>
                <w:sz w:val="24"/>
                <w:szCs w:val="24"/>
              </w:rPr>
            </w:pPr>
            <w:r>
              <w:rPr>
                <w:color w:val="000000"/>
                <w:sz w:val="24"/>
                <w:szCs w:val="24"/>
              </w:rPr>
              <w:t>据类比调查可知，在污水处理过程中，伴随着微生物、原生动物、菌股团等生物的新陈代谢会产生恶臭，主要产生于好氧、厌氧处理和污泥处理设施。</w:t>
            </w:r>
            <w:r>
              <w:rPr>
                <w:rFonts w:hint="eastAsia"/>
                <w:sz w:val="24"/>
                <w:szCs w:val="24"/>
              </w:rPr>
              <w:t>恶臭气体其主要成分为H</w:t>
            </w:r>
            <w:r>
              <w:rPr>
                <w:sz w:val="24"/>
                <w:szCs w:val="24"/>
                <w:vertAlign w:val="subscript"/>
              </w:rPr>
              <w:t>2</w:t>
            </w:r>
            <w:r>
              <w:rPr>
                <w:rFonts w:hint="eastAsia"/>
                <w:sz w:val="24"/>
                <w:szCs w:val="24"/>
              </w:rPr>
              <w:t>S、NH</w:t>
            </w:r>
            <w:r>
              <w:rPr>
                <w:sz w:val="24"/>
                <w:szCs w:val="24"/>
                <w:vertAlign w:val="subscript"/>
              </w:rPr>
              <w:t>3</w:t>
            </w:r>
            <w:r>
              <w:rPr>
                <w:color w:val="000000"/>
                <w:sz w:val="24"/>
                <w:szCs w:val="24"/>
              </w:rPr>
              <w:t>，</w:t>
            </w:r>
            <w:r>
              <w:rPr>
                <w:sz w:val="24"/>
                <w:szCs w:val="24"/>
              </w:rPr>
              <w:t>根据《连州市慢性病防治院外迁扩建项目竣工环境保护验收监测报告》</w:t>
            </w:r>
            <w:r>
              <w:rPr>
                <w:spacing w:val="-11"/>
                <w:sz w:val="24"/>
                <w:szCs w:val="24"/>
              </w:rPr>
              <w:t>废水处理站中的构筑物</w:t>
            </w:r>
            <w:r>
              <w:rPr>
                <w:rFonts w:hint="eastAsia"/>
                <w:spacing w:val="-11"/>
                <w:sz w:val="24"/>
                <w:szCs w:val="24"/>
              </w:rPr>
              <w:t>为</w:t>
            </w:r>
            <w:r>
              <w:rPr>
                <w:spacing w:val="-11"/>
                <w:sz w:val="24"/>
                <w:szCs w:val="24"/>
              </w:rPr>
              <w:t>完全密闭并</w:t>
            </w:r>
            <w:r>
              <w:rPr>
                <w:spacing w:val="-14"/>
                <w:sz w:val="24"/>
                <w:szCs w:val="24"/>
              </w:rPr>
              <w:t>设立废气收集系统，经光催化氧化工</w:t>
            </w:r>
            <w:r>
              <w:rPr>
                <w:spacing w:val="-17"/>
                <w:sz w:val="24"/>
                <w:szCs w:val="24"/>
              </w:rPr>
              <w:t>艺脱臭消毒后，通过排气筒4米高排气筒</w:t>
            </w:r>
            <w:r>
              <w:rPr>
                <w:sz w:val="24"/>
                <w:szCs w:val="24"/>
              </w:rPr>
              <w:t>排放</w:t>
            </w:r>
            <w:r>
              <w:rPr>
                <w:rFonts w:hint="eastAsia"/>
                <w:sz w:val="24"/>
                <w:szCs w:val="24"/>
              </w:rPr>
              <w:t>。扩建项目新增医疗废水处理量很少，相应产生的恶臭污染物</w:t>
            </w:r>
            <w:r>
              <w:rPr>
                <w:sz w:val="24"/>
                <w:szCs w:val="24"/>
              </w:rPr>
              <w:t>排放量</w:t>
            </w:r>
            <w:r>
              <w:rPr>
                <w:rFonts w:hint="eastAsia"/>
                <w:sz w:val="24"/>
                <w:szCs w:val="24"/>
              </w:rPr>
              <w:t>也不大</w:t>
            </w:r>
            <w:r>
              <w:rPr>
                <w:sz w:val="24"/>
                <w:szCs w:val="24"/>
              </w:rPr>
              <w:t>，</w:t>
            </w:r>
            <w:r>
              <w:rPr>
                <w:rFonts w:hint="eastAsia"/>
                <w:sz w:val="24"/>
                <w:szCs w:val="24"/>
              </w:rPr>
              <w:t>污水站周边各主要臭气污染物排放浓度</w:t>
            </w:r>
            <w:r>
              <w:rPr>
                <w:rFonts w:hint="eastAsia"/>
                <w:spacing w:val="-3"/>
                <w:sz w:val="24"/>
                <w:szCs w:val="24"/>
              </w:rPr>
              <w:t>能够</w:t>
            </w:r>
            <w:r>
              <w:rPr>
                <w:sz w:val="24"/>
                <w:szCs w:val="24"/>
              </w:rPr>
              <w:t>满足《医疗机构水污染物排放标准》（GB 18466-2005）表3标准限值，通过大气稀释</w:t>
            </w:r>
            <w:r>
              <w:rPr>
                <w:rFonts w:hint="eastAsia"/>
                <w:sz w:val="24"/>
                <w:szCs w:val="24"/>
              </w:rPr>
              <w:t>扩散后</w:t>
            </w:r>
            <w:r>
              <w:rPr>
                <w:sz w:val="24"/>
                <w:szCs w:val="24"/>
              </w:rPr>
              <w:t>不会对周围环境空气产生明显影响</w:t>
            </w:r>
            <w:r>
              <w:rPr>
                <w:rFonts w:hint="eastAsia"/>
                <w:sz w:val="24"/>
                <w:szCs w:val="24"/>
              </w:rPr>
              <w:t>。</w:t>
            </w:r>
          </w:p>
          <w:p>
            <w:pPr>
              <w:spacing w:line="360" w:lineRule="auto"/>
              <w:ind w:firstLine="482" w:firstLineChars="200"/>
              <w:jc w:val="left"/>
            </w:pPr>
            <w:r>
              <w:rPr>
                <w:rFonts w:hint="eastAsia"/>
                <w:b/>
                <w:bCs/>
                <w:sz w:val="24"/>
                <w:szCs w:val="24"/>
              </w:rPr>
              <w:t>2、</w:t>
            </w:r>
            <w:r>
              <w:rPr>
                <w:b/>
                <w:bCs/>
                <w:sz w:val="24"/>
                <w:szCs w:val="24"/>
              </w:rPr>
              <w:t>停车场汽车尾气</w:t>
            </w:r>
          </w:p>
          <w:p>
            <w:pPr>
              <w:tabs>
                <w:tab w:val="left" w:pos="3475"/>
              </w:tabs>
              <w:spacing w:line="360" w:lineRule="auto"/>
              <w:ind w:firstLine="432" w:firstLineChars="200"/>
              <w:jc w:val="left"/>
            </w:pPr>
            <w:r>
              <w:rPr>
                <w:spacing w:val="-12"/>
                <w:sz w:val="24"/>
                <w:szCs w:val="24"/>
              </w:rPr>
              <w:t>扩建项目新增设 54</w:t>
            </w:r>
            <w:r>
              <w:rPr>
                <w:sz w:val="24"/>
                <w:szCs w:val="24"/>
              </w:rPr>
              <w:t xml:space="preserve"> </w:t>
            </w:r>
            <w:r>
              <w:rPr>
                <w:spacing w:val="-9"/>
                <w:sz w:val="24"/>
                <w:szCs w:val="24"/>
              </w:rPr>
              <w:t>个地下停车位。汽车进出停车场时，将会排放一定量的汽车尾气，汽车尾</w:t>
            </w:r>
            <w:r>
              <w:rPr>
                <w:spacing w:val="-16"/>
                <w:position w:val="2"/>
                <w:sz w:val="24"/>
                <w:szCs w:val="24"/>
              </w:rPr>
              <w:t xml:space="preserve">气主要污染因子 </w:t>
            </w:r>
            <w:r>
              <w:rPr>
                <w:position w:val="2"/>
                <w:sz w:val="24"/>
                <w:szCs w:val="24"/>
              </w:rPr>
              <w:t>CO</w:t>
            </w:r>
            <w:r>
              <w:rPr>
                <w:spacing w:val="-10"/>
                <w:position w:val="2"/>
                <w:sz w:val="24"/>
                <w:szCs w:val="24"/>
              </w:rPr>
              <w:t>、</w:t>
            </w:r>
            <w:r>
              <w:rPr>
                <w:position w:val="2"/>
                <w:sz w:val="24"/>
                <w:szCs w:val="24"/>
              </w:rPr>
              <w:t>NO</w:t>
            </w:r>
            <w:r>
              <w:rPr>
                <w:position w:val="2"/>
                <w:sz w:val="24"/>
                <w:szCs w:val="24"/>
                <w:vertAlign w:val="subscript"/>
              </w:rPr>
              <w:t>x</w:t>
            </w:r>
            <w:r>
              <w:rPr>
                <w:spacing w:val="-10"/>
                <w:position w:val="2"/>
                <w:sz w:val="24"/>
                <w:szCs w:val="24"/>
              </w:rPr>
              <w:t>、</w:t>
            </w:r>
            <w:r>
              <w:rPr>
                <w:position w:val="2"/>
                <w:sz w:val="24"/>
                <w:szCs w:val="24"/>
              </w:rPr>
              <w:t>HC</w:t>
            </w:r>
            <w:r>
              <w:rPr>
                <w:spacing w:val="-4"/>
                <w:position w:val="2"/>
                <w:sz w:val="24"/>
                <w:szCs w:val="24"/>
              </w:rPr>
              <w:t>。根据该建设项目的特点，进入停车场主要为家庭式小</w:t>
            </w:r>
            <w:r>
              <w:rPr>
                <w:spacing w:val="-4"/>
                <w:sz w:val="24"/>
                <w:szCs w:val="24"/>
              </w:rPr>
              <w:t>型车(轿车和小面包车等)为主。</w:t>
            </w:r>
            <w:r>
              <w:rPr>
                <w:spacing w:val="-8"/>
                <w:sz w:val="24"/>
                <w:szCs w:val="24"/>
              </w:rPr>
              <w:t>参考《轻型汽车污染物排放限值及测量方法</w:t>
            </w:r>
            <w:r>
              <w:rPr>
                <w:sz w:val="24"/>
                <w:szCs w:val="24"/>
              </w:rPr>
              <w:t>(</w:t>
            </w:r>
            <w:r>
              <w:rPr>
                <w:spacing w:val="-9"/>
                <w:sz w:val="24"/>
                <w:szCs w:val="24"/>
              </w:rPr>
              <w:t>中国Ⅲ、Ⅳ阶段</w:t>
            </w:r>
            <w:r>
              <w:rPr>
                <w:sz w:val="24"/>
                <w:szCs w:val="24"/>
              </w:rPr>
              <w:t>)</w:t>
            </w:r>
            <w:r>
              <w:rPr>
                <w:spacing w:val="-56"/>
                <w:sz w:val="24"/>
                <w:szCs w:val="24"/>
              </w:rPr>
              <w:t>》</w:t>
            </w:r>
            <w:r>
              <w:rPr>
                <w:sz w:val="24"/>
                <w:szCs w:val="24"/>
              </w:rPr>
              <w:t>(GB18352.3-2005)Ⅰ 型试验(常温下冷起动后排气污染物排放试验)排气污染物排放限值(Ⅲ阶段第一类车)。</w:t>
            </w:r>
            <w:r>
              <w:rPr>
                <w:spacing w:val="-5"/>
                <w:sz w:val="24"/>
                <w:szCs w:val="24"/>
              </w:rPr>
              <w:t>项目汽车污染物排放限值见表4-1</w:t>
            </w:r>
            <w:r>
              <w:rPr>
                <w:sz w:val="24"/>
                <w:szCs w:val="24"/>
              </w:rPr>
              <w:t>。</w:t>
            </w:r>
          </w:p>
          <w:p>
            <w:pPr>
              <w:pStyle w:val="6"/>
              <w:tabs>
                <w:tab w:val="left" w:pos="3475"/>
              </w:tabs>
              <w:spacing w:line="360" w:lineRule="auto"/>
              <w:ind w:firstLine="2168" w:firstLineChars="900"/>
              <w:rPr>
                <w:rFonts w:ascii="Times New Roman" w:hAnsi="Times New Roman" w:eastAsia="Times New Roman"/>
              </w:rPr>
            </w:pPr>
            <w:r>
              <w:rPr>
                <w:rFonts w:hint="eastAsia"/>
              </w:rPr>
              <w:t>表4-</w:t>
            </w:r>
            <w:r>
              <w:t>1汽车排气污染物排放限值</w:t>
            </w:r>
            <w:r>
              <w:rPr>
                <w:rFonts w:ascii="Times New Roman" w:hAnsi="Times New Roman" w:eastAsia="Times New Roman"/>
              </w:rPr>
              <w:t>(g/</w:t>
            </w:r>
            <w:r>
              <w:t>辆</w:t>
            </w:r>
            <w:r>
              <w:rPr>
                <w:rFonts w:ascii="Times New Roman" w:hAnsi="Times New Roman" w:eastAsia="Times New Roman"/>
              </w:rPr>
              <w:t>·km)</w:t>
            </w:r>
          </w:p>
          <w:tbl>
            <w:tblPr>
              <w:tblStyle w:val="27"/>
              <w:tblW w:w="8579" w:type="dxa"/>
              <w:jc w:val="center"/>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Layout w:type="autofit"/>
              <w:tblCellMar>
                <w:top w:w="0" w:type="dxa"/>
                <w:left w:w="0" w:type="dxa"/>
                <w:bottom w:w="0" w:type="dxa"/>
                <w:right w:w="0" w:type="dxa"/>
              </w:tblCellMar>
            </w:tblPr>
            <w:tblGrid>
              <w:gridCol w:w="3674"/>
              <w:gridCol w:w="1635"/>
              <w:gridCol w:w="1635"/>
              <w:gridCol w:w="1635"/>
            </w:tblGrid>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613" w:hRule="atLeast"/>
                <w:jc w:val="center"/>
              </w:trPr>
              <w:tc>
                <w:tcPr>
                  <w:tcW w:w="3674" w:type="dxa"/>
                  <w:tcBorders>
                    <w:bottom w:val="single" w:color="000000" w:sz="4" w:space="0"/>
                    <w:right w:val="single" w:color="000000" w:sz="4" w:space="0"/>
                  </w:tcBorders>
                </w:tcPr>
                <w:p>
                  <w:pPr>
                    <w:pStyle w:val="63"/>
                    <w:spacing w:before="25"/>
                    <w:ind w:right="486"/>
                    <w:jc w:val="right"/>
                    <w:rPr>
                      <w:rFonts w:ascii="Times New Roman" w:hAnsi="Times New Roman" w:eastAsia="宋体" w:cs="Times New Roman"/>
                      <w:lang w:eastAsia="zh-CN"/>
                    </w:rPr>
                  </w:pPr>
                  <w:r>
                    <w:rPr>
                      <w:rFonts w:ascii="Times New Roman" w:hAnsi="Times New Roman" w:eastAsia="宋体" w:cs="Times New Roman"/>
                      <w:lang w:eastAsia="zh-CN"/>
                    </w:rPr>
                    <mc:AlternateContent>
                      <mc:Choice Requires="wps">
                        <w:drawing>
                          <wp:anchor distT="0" distB="0" distL="114300" distR="114300" simplePos="0" relativeHeight="251659264" behindDoc="1" locked="0" layoutInCell="1" allowOverlap="1">
                            <wp:simplePos x="0" y="0"/>
                            <wp:positionH relativeFrom="page">
                              <wp:posOffset>44450</wp:posOffset>
                            </wp:positionH>
                            <wp:positionV relativeFrom="paragraph">
                              <wp:posOffset>64135</wp:posOffset>
                            </wp:positionV>
                            <wp:extent cx="2266315" cy="283210"/>
                            <wp:effectExtent l="10795" t="9525" r="8890" b="12065"/>
                            <wp:wrapNone/>
                            <wp:docPr id="34" name="直线 3"/>
                            <wp:cNvGraphicFramePr/>
                            <a:graphic xmlns:a="http://schemas.openxmlformats.org/drawingml/2006/main">
                              <a:graphicData uri="http://schemas.microsoft.com/office/word/2010/wordprocessingShape">
                                <wps:wsp>
                                  <wps:cNvCnPr>
                                    <a:cxnSpLocks noChangeShapeType="1"/>
                                  </wps:cNvCnPr>
                                  <wps:spPr bwMode="auto">
                                    <a:xfrm>
                                      <a:off x="0" y="0"/>
                                      <a:ext cx="2266315" cy="283210"/>
                                    </a:xfrm>
                                    <a:prstGeom prst="line">
                                      <a:avLst/>
                                    </a:prstGeom>
                                    <a:noFill/>
                                    <a:ln w="6350">
                                      <a:solidFill>
                                        <a:srgbClr val="000000"/>
                                      </a:solidFill>
                                      <a:round/>
                                    </a:ln>
                                    <a:effectLst/>
                                  </wps:spPr>
                                  <wps:bodyPr/>
                                </wps:wsp>
                              </a:graphicData>
                            </a:graphic>
                          </wp:anchor>
                        </w:drawing>
                      </mc:Choice>
                      <mc:Fallback>
                        <w:pict>
                          <v:line id="直线 3" o:spid="_x0000_s1026" o:spt="20" style="position:absolute;left:0pt;margin-left:3.5pt;margin-top:5.05pt;height:22.3pt;width:178.45pt;mso-position-horizontal-relative:page;z-index:-251657216;mso-width-relative:page;mso-height-relative:page;" filled="f" stroked="t" coordsize="21600,21600" o:gfxdata="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FvFKtUAAAAHAQAA&#10;DwAAAAAAAAABACAAAAAiAAAAZHJzL2Rvd25yZXYueG1sUEsBAhQAFAAAAAgAh07iQBbZIIPjAQAA&#10;tQMAAA4AAAAAAAAAAQAgAAAAJAEAAGRycy9lMm9Eb2MueG1sUEsFBgAAAAAGAAYAWQEAAHkFAAAA&#10;AA==&#10;">
                            <v:fill on="f" focussize="0,0"/>
                            <v:stroke weight="0.5pt" color="#000000" joinstyle="round"/>
                            <v:imagedata o:title=""/>
                            <o:lock v:ext="edit" aspectratio="f"/>
                          </v:line>
                        </w:pict>
                      </mc:Fallback>
                    </mc:AlternateContent>
                  </w:r>
                  <w:r>
                    <w:rPr>
                      <w:rFonts w:ascii="Times New Roman" w:hAnsi="Times New Roman" w:eastAsia="宋体" w:cs="Times New Roman"/>
                      <w:lang w:eastAsia="zh-CN"/>
                    </w:rPr>
                    <w:t>污染物</w:t>
                  </w:r>
                </w:p>
                <w:p>
                  <w:pPr>
                    <w:pStyle w:val="63"/>
                    <w:spacing w:before="2"/>
                    <w:ind w:left="14" w:firstLine="630" w:firstLineChars="300"/>
                    <w:jc w:val="left"/>
                    <w:rPr>
                      <w:rFonts w:ascii="Times New Roman" w:hAnsi="Times New Roman" w:eastAsia="宋体" w:cs="Times New Roman"/>
                      <w:lang w:eastAsia="zh-CN"/>
                    </w:rPr>
                  </w:pPr>
                  <w:r>
                    <w:rPr>
                      <w:rFonts w:ascii="Times New Roman" w:hAnsi="Times New Roman" w:eastAsia="宋体" w:cs="Times New Roman"/>
                      <w:lang w:eastAsia="zh-CN"/>
                    </w:rPr>
                    <w:t>车种</w:t>
                  </w:r>
                </w:p>
              </w:tc>
              <w:tc>
                <w:tcPr>
                  <w:tcW w:w="1635" w:type="dxa"/>
                  <w:tcBorders>
                    <w:left w:val="single" w:color="000000" w:sz="4" w:space="0"/>
                    <w:bottom w:val="single" w:color="000000" w:sz="4" w:space="0"/>
                    <w:right w:val="single" w:color="000000" w:sz="4" w:space="0"/>
                  </w:tcBorders>
                </w:tcPr>
                <w:p>
                  <w:pPr>
                    <w:pStyle w:val="63"/>
                    <w:spacing w:before="176"/>
                    <w:ind w:right="675"/>
                    <w:jc w:val="both"/>
                    <w:rPr>
                      <w:rFonts w:ascii="Times New Roman" w:hAnsi="Times New Roman" w:eastAsia="宋体" w:cs="Times New Roman"/>
                      <w:lang w:eastAsia="zh-CN"/>
                    </w:rPr>
                  </w:pPr>
                  <w:r>
                    <w:rPr>
                      <w:rFonts w:ascii="Times New Roman" w:hAnsi="Times New Roman" w:eastAsia="宋体" w:cs="Times New Roman"/>
                      <w:lang w:eastAsia="zh-CN"/>
                    </w:rPr>
                    <w:t>CO</w:t>
                  </w:r>
                </w:p>
              </w:tc>
              <w:tc>
                <w:tcPr>
                  <w:tcW w:w="1635" w:type="dxa"/>
                  <w:tcBorders>
                    <w:left w:val="single" w:color="000000" w:sz="4" w:space="0"/>
                    <w:bottom w:val="single" w:color="000000" w:sz="4" w:space="0"/>
                    <w:right w:val="single" w:color="000000" w:sz="4" w:space="0"/>
                  </w:tcBorders>
                </w:tcPr>
                <w:p>
                  <w:pPr>
                    <w:pStyle w:val="63"/>
                    <w:spacing w:before="176"/>
                    <w:ind w:right="674"/>
                    <w:jc w:val="both"/>
                    <w:rPr>
                      <w:rFonts w:ascii="Times New Roman" w:hAnsi="Times New Roman" w:eastAsia="宋体" w:cs="Times New Roman"/>
                      <w:lang w:eastAsia="zh-CN"/>
                    </w:rPr>
                  </w:pPr>
                  <w:r>
                    <w:rPr>
                      <w:rFonts w:ascii="Times New Roman" w:hAnsi="Times New Roman" w:eastAsia="宋体" w:cs="Times New Roman"/>
                      <w:lang w:eastAsia="zh-CN"/>
                    </w:rPr>
                    <w:t>HC</w:t>
                  </w:r>
                </w:p>
              </w:tc>
              <w:tc>
                <w:tcPr>
                  <w:tcW w:w="1635" w:type="dxa"/>
                  <w:tcBorders>
                    <w:left w:val="single" w:color="000000" w:sz="4" w:space="0"/>
                    <w:bottom w:val="single" w:color="000000" w:sz="4" w:space="0"/>
                  </w:tcBorders>
                </w:tcPr>
                <w:p>
                  <w:pPr>
                    <w:pStyle w:val="63"/>
                    <w:spacing w:before="172"/>
                    <w:ind w:right="622"/>
                    <w:jc w:val="both"/>
                    <w:rPr>
                      <w:rFonts w:ascii="Times New Roman" w:hAnsi="Times New Roman" w:eastAsia="宋体" w:cs="Times New Roman"/>
                      <w:lang w:eastAsia="zh-CN"/>
                    </w:rPr>
                  </w:pPr>
                  <w:r>
                    <w:rPr>
                      <w:rFonts w:ascii="Times New Roman" w:hAnsi="Times New Roman" w:eastAsia="宋体" w:cs="Times New Roman"/>
                      <w:position w:val="2"/>
                      <w:lang w:eastAsia="zh-CN"/>
                    </w:rPr>
                    <w:t>NO</w:t>
                  </w:r>
                  <w:r>
                    <w:rPr>
                      <w:rFonts w:ascii="Times New Roman" w:hAnsi="Times New Roman" w:eastAsia="宋体" w:cs="Times New Roman"/>
                      <w:position w:val="2"/>
                      <w:vertAlign w:val="subscript"/>
                      <w:lang w:eastAsia="zh-CN"/>
                    </w:rPr>
                    <w:t>X</w:t>
                  </w:r>
                </w:p>
              </w:tc>
            </w:tr>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439" w:hRule="atLeast"/>
                <w:jc w:val="center"/>
              </w:trPr>
              <w:tc>
                <w:tcPr>
                  <w:tcW w:w="3674" w:type="dxa"/>
                  <w:tcBorders>
                    <w:top w:val="single" w:color="000000" w:sz="4" w:space="0"/>
                    <w:right w:val="single" w:color="000000" w:sz="4" w:space="0"/>
                  </w:tcBorders>
                </w:tcPr>
                <w:p>
                  <w:pPr>
                    <w:pStyle w:val="63"/>
                    <w:spacing w:before="59"/>
                    <w:ind w:left="1245"/>
                    <w:jc w:val="left"/>
                    <w:rPr>
                      <w:rFonts w:ascii="Times New Roman" w:hAnsi="Times New Roman" w:eastAsia="宋体" w:cs="Times New Roman"/>
                      <w:lang w:eastAsia="zh-CN"/>
                    </w:rPr>
                  </w:pPr>
                  <w:r>
                    <w:rPr>
                      <w:rFonts w:ascii="Times New Roman" w:hAnsi="Times New Roman" w:eastAsia="宋体" w:cs="Times New Roman"/>
                      <w:lang w:eastAsia="zh-CN"/>
                    </w:rPr>
                    <w:t>小汽车(用汽油)</w:t>
                  </w:r>
                </w:p>
              </w:tc>
              <w:tc>
                <w:tcPr>
                  <w:tcW w:w="1635" w:type="dxa"/>
                  <w:tcBorders>
                    <w:top w:val="single" w:color="000000" w:sz="4" w:space="0"/>
                    <w:left w:val="single" w:color="000000" w:sz="4" w:space="0"/>
                    <w:right w:val="single" w:color="000000" w:sz="4" w:space="0"/>
                  </w:tcBorders>
                </w:tcPr>
                <w:p>
                  <w:pPr>
                    <w:pStyle w:val="63"/>
                    <w:spacing w:before="73"/>
                    <w:ind w:right="670"/>
                    <w:jc w:val="both"/>
                    <w:rPr>
                      <w:rFonts w:ascii="Times New Roman" w:hAnsi="Times New Roman" w:eastAsia="宋体" w:cs="Times New Roman"/>
                      <w:lang w:eastAsia="zh-CN"/>
                    </w:rPr>
                  </w:pPr>
                  <w:r>
                    <w:rPr>
                      <w:rFonts w:ascii="Times New Roman" w:hAnsi="Times New Roman" w:eastAsia="宋体" w:cs="Times New Roman"/>
                      <w:lang w:eastAsia="zh-CN"/>
                    </w:rPr>
                    <w:t>2.3</w:t>
                  </w:r>
                </w:p>
              </w:tc>
              <w:tc>
                <w:tcPr>
                  <w:tcW w:w="1635" w:type="dxa"/>
                  <w:tcBorders>
                    <w:top w:val="single" w:color="000000" w:sz="4" w:space="0"/>
                    <w:left w:val="single" w:color="000000" w:sz="4" w:space="0"/>
                    <w:right w:val="single" w:color="000000" w:sz="4" w:space="0"/>
                  </w:tcBorders>
                </w:tcPr>
                <w:p>
                  <w:pPr>
                    <w:pStyle w:val="63"/>
                    <w:spacing w:before="73"/>
                    <w:ind w:right="673"/>
                    <w:jc w:val="both"/>
                    <w:rPr>
                      <w:rFonts w:ascii="Times New Roman" w:hAnsi="Times New Roman" w:eastAsia="宋体" w:cs="Times New Roman"/>
                      <w:lang w:eastAsia="zh-CN"/>
                    </w:rPr>
                  </w:pPr>
                  <w:r>
                    <w:rPr>
                      <w:rFonts w:ascii="Times New Roman" w:hAnsi="Times New Roman" w:eastAsia="宋体" w:cs="Times New Roman"/>
                      <w:lang w:eastAsia="zh-CN"/>
                    </w:rPr>
                    <w:t>0.2</w:t>
                  </w:r>
                </w:p>
              </w:tc>
              <w:tc>
                <w:tcPr>
                  <w:tcW w:w="1635" w:type="dxa"/>
                  <w:tcBorders>
                    <w:top w:val="single" w:color="000000" w:sz="4" w:space="0"/>
                    <w:left w:val="single" w:color="000000" w:sz="4" w:space="0"/>
                  </w:tcBorders>
                </w:tcPr>
                <w:p>
                  <w:pPr>
                    <w:pStyle w:val="63"/>
                    <w:spacing w:before="73"/>
                    <w:ind w:right="622"/>
                    <w:jc w:val="both"/>
                    <w:rPr>
                      <w:rFonts w:ascii="Times New Roman" w:hAnsi="Times New Roman" w:eastAsia="宋体" w:cs="Times New Roman"/>
                      <w:lang w:eastAsia="zh-CN"/>
                    </w:rPr>
                  </w:pPr>
                  <w:r>
                    <w:rPr>
                      <w:rFonts w:ascii="Times New Roman" w:hAnsi="Times New Roman" w:eastAsia="宋体" w:cs="Times New Roman"/>
                      <w:lang w:eastAsia="zh-CN"/>
                    </w:rPr>
                    <w:t>0.15</w:t>
                  </w:r>
                </w:p>
              </w:tc>
            </w:tr>
          </w:tbl>
          <w:p>
            <w:pPr>
              <w:spacing w:line="360" w:lineRule="auto"/>
              <w:ind w:firstLine="468" w:firstLineChars="200"/>
              <w:jc w:val="left"/>
              <w:rPr>
                <w:spacing w:val="-3"/>
                <w:sz w:val="24"/>
                <w:szCs w:val="24"/>
              </w:rPr>
            </w:pPr>
          </w:p>
          <w:p>
            <w:pPr>
              <w:spacing w:line="360" w:lineRule="auto"/>
              <w:ind w:firstLine="468" w:firstLineChars="200"/>
              <w:jc w:val="left"/>
              <w:rPr>
                <w:sz w:val="24"/>
                <w:szCs w:val="24"/>
              </w:rPr>
            </w:pPr>
            <w:r>
              <w:rPr>
                <w:spacing w:val="-3"/>
                <w:sz w:val="24"/>
                <w:szCs w:val="24"/>
              </w:rPr>
              <w:t xml:space="preserve">由于医院停车场较紧张，实际停车数按总容量的 </w:t>
            </w:r>
            <w:r>
              <w:rPr>
                <w:rFonts w:eastAsia="Times New Roman"/>
                <w:sz w:val="24"/>
                <w:szCs w:val="24"/>
              </w:rPr>
              <w:t>100%</w:t>
            </w:r>
            <w:r>
              <w:rPr>
                <w:sz w:val="24"/>
                <w:szCs w:val="24"/>
              </w:rPr>
              <w:t>计，院区内停车场部分停车</w:t>
            </w:r>
            <w:r>
              <w:rPr>
                <w:spacing w:val="-10"/>
                <w:sz w:val="24"/>
                <w:szCs w:val="24"/>
              </w:rPr>
              <w:t xml:space="preserve">时间较短，每个车位的每天平均停车 </w:t>
            </w:r>
            <w:r>
              <w:rPr>
                <w:rFonts w:eastAsia="Times New Roman"/>
                <w:sz w:val="24"/>
                <w:szCs w:val="24"/>
              </w:rPr>
              <w:t xml:space="preserve">3 </w:t>
            </w:r>
            <w:r>
              <w:rPr>
                <w:spacing w:val="-10"/>
                <w:sz w:val="24"/>
                <w:szCs w:val="24"/>
              </w:rPr>
              <w:t xml:space="preserve">次计。估计每天进出车流量可达 </w:t>
            </w:r>
            <w:r>
              <w:rPr>
                <w:rFonts w:hint="eastAsia"/>
                <w:spacing w:val="-10"/>
                <w:sz w:val="24"/>
                <w:szCs w:val="24"/>
              </w:rPr>
              <w:t>162</w:t>
            </w:r>
            <w:r>
              <w:rPr>
                <w:spacing w:val="-8"/>
                <w:sz w:val="24"/>
                <w:szCs w:val="24"/>
              </w:rPr>
              <w:t>次。实际进</w:t>
            </w:r>
            <w:r>
              <w:rPr>
                <w:sz w:val="24"/>
                <w:szCs w:val="24"/>
              </w:rPr>
              <w:t xml:space="preserve">出停车场的平均距离在 </w:t>
            </w:r>
            <w:r>
              <w:rPr>
                <w:rFonts w:eastAsia="Times New Roman"/>
                <w:sz w:val="24"/>
                <w:szCs w:val="24"/>
              </w:rPr>
              <w:t xml:space="preserve">40m </w:t>
            </w:r>
            <w:r>
              <w:rPr>
                <w:sz w:val="24"/>
                <w:szCs w:val="24"/>
              </w:rPr>
              <w:t xml:space="preserve">左右。按上述有关车流量和有关参数、计算公式，计算得到停车场废气排放源强见表 </w:t>
            </w:r>
            <w:r>
              <w:rPr>
                <w:rFonts w:hint="eastAsia"/>
                <w:sz w:val="24"/>
                <w:szCs w:val="24"/>
              </w:rPr>
              <w:t>4-</w:t>
            </w:r>
            <w:r>
              <w:rPr>
                <w:sz w:val="24"/>
                <w:szCs w:val="24"/>
              </w:rPr>
              <w:t>2。</w:t>
            </w:r>
          </w:p>
          <w:p>
            <w:pPr>
              <w:pStyle w:val="6"/>
              <w:tabs>
                <w:tab w:val="left" w:pos="1159"/>
              </w:tabs>
              <w:spacing w:line="306" w:lineRule="exact"/>
              <w:ind w:right="468" w:firstLine="2650" w:firstLineChars="1100"/>
            </w:pPr>
            <w:r>
              <w:rPr>
                <w:rFonts w:hint="eastAsia"/>
              </w:rPr>
              <w:t>表4-</w:t>
            </w:r>
            <w:r>
              <w:t>2汽车废气污染物产生情况</w:t>
            </w:r>
          </w:p>
          <w:tbl>
            <w:tblPr>
              <w:tblStyle w:val="27"/>
              <w:tblpPr w:leftFromText="180" w:rightFromText="180" w:vertAnchor="text" w:horzAnchor="page" w:tblpX="-75" w:tblpY="242"/>
              <w:tblOverlap w:val="never"/>
              <w:tblW w:w="8579"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814"/>
              <w:gridCol w:w="848"/>
              <w:gridCol w:w="1684"/>
              <w:gridCol w:w="1670"/>
              <w:gridCol w:w="1186"/>
              <w:gridCol w:w="1186"/>
              <w:gridCol w:w="119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7" w:hRule="atLeast"/>
              </w:trPr>
              <w:tc>
                <w:tcPr>
                  <w:tcW w:w="1662" w:type="dxa"/>
                  <w:gridSpan w:val="2"/>
                  <w:vMerge w:val="restart"/>
                  <w:tcBorders>
                    <w:left w:val="nil"/>
                    <w:bottom w:val="single" w:color="000000" w:sz="2" w:space="0"/>
                    <w:right w:val="single" w:color="000000" w:sz="2" w:space="0"/>
                  </w:tcBorders>
                  <w:vAlign w:val="center"/>
                </w:tcPr>
                <w:p>
                  <w:pPr>
                    <w:jc w:val="center"/>
                  </w:pPr>
                </w:p>
                <w:p>
                  <w:pPr>
                    <w:jc w:val="center"/>
                  </w:pPr>
                  <w:r>
                    <w:t>泊位(个)</w:t>
                  </w:r>
                </w:p>
              </w:tc>
              <w:tc>
                <w:tcPr>
                  <w:tcW w:w="3354" w:type="dxa"/>
                  <w:gridSpan w:val="2"/>
                  <w:vMerge w:val="restart"/>
                  <w:tcBorders>
                    <w:left w:val="single" w:color="000000" w:sz="2" w:space="0"/>
                    <w:bottom w:val="single" w:color="000000" w:sz="2" w:space="0"/>
                    <w:right w:val="single" w:color="000000" w:sz="2" w:space="0"/>
                  </w:tcBorders>
                  <w:vAlign w:val="center"/>
                </w:tcPr>
                <w:p>
                  <w:pPr>
                    <w:jc w:val="center"/>
                  </w:pPr>
                </w:p>
                <w:p>
                  <w:pPr>
                    <w:jc w:val="center"/>
                  </w:pPr>
                  <w:r>
                    <w:t>日车流量</w:t>
                  </w:r>
                </w:p>
              </w:tc>
              <w:tc>
                <w:tcPr>
                  <w:tcW w:w="3563" w:type="dxa"/>
                  <w:gridSpan w:val="3"/>
                  <w:tcBorders>
                    <w:left w:val="single" w:color="000000" w:sz="2" w:space="0"/>
                    <w:bottom w:val="single" w:color="000000" w:sz="2" w:space="0"/>
                    <w:right w:val="nil"/>
                  </w:tcBorders>
                  <w:vAlign w:val="center"/>
                </w:tcPr>
                <w:p>
                  <w:pPr>
                    <w:jc w:val="center"/>
                  </w:pPr>
                  <w:r>
                    <w:t>污染物排放源强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2" w:hRule="atLeast"/>
              </w:trPr>
              <w:tc>
                <w:tcPr>
                  <w:tcW w:w="1662" w:type="dxa"/>
                  <w:gridSpan w:val="2"/>
                  <w:vMerge w:val="continue"/>
                  <w:tcBorders>
                    <w:top w:val="nil"/>
                    <w:left w:val="nil"/>
                    <w:bottom w:val="single" w:color="000000" w:sz="2" w:space="0"/>
                    <w:right w:val="single" w:color="000000" w:sz="2" w:space="0"/>
                  </w:tcBorders>
                  <w:vAlign w:val="center"/>
                </w:tcPr>
                <w:p>
                  <w:pPr>
                    <w:jc w:val="center"/>
                  </w:pPr>
                </w:p>
              </w:tc>
              <w:tc>
                <w:tcPr>
                  <w:tcW w:w="3354" w:type="dxa"/>
                  <w:gridSpan w:val="2"/>
                  <w:vMerge w:val="continue"/>
                  <w:tcBorders>
                    <w:top w:val="nil"/>
                    <w:left w:val="single" w:color="000000" w:sz="2" w:space="0"/>
                    <w:bottom w:val="single" w:color="000000" w:sz="2" w:space="0"/>
                    <w:right w:val="single" w:color="000000" w:sz="2" w:space="0"/>
                  </w:tcBorders>
                  <w:vAlign w:val="center"/>
                </w:tcPr>
                <w:p>
                  <w:pPr>
                    <w:jc w:val="center"/>
                  </w:pPr>
                </w:p>
              </w:tc>
              <w:tc>
                <w:tcPr>
                  <w:tcW w:w="1186" w:type="dxa"/>
                  <w:tcBorders>
                    <w:top w:val="single" w:color="000000" w:sz="2" w:space="0"/>
                    <w:left w:val="single" w:color="000000" w:sz="2" w:space="0"/>
                    <w:bottom w:val="single" w:color="000000" w:sz="2" w:space="0"/>
                    <w:right w:val="single" w:color="000000" w:sz="2" w:space="0"/>
                  </w:tcBorders>
                  <w:vAlign w:val="center"/>
                </w:tcPr>
                <w:p>
                  <w:pPr>
                    <w:jc w:val="center"/>
                  </w:pPr>
                  <w:r>
                    <w:t>CO</w:t>
                  </w:r>
                </w:p>
              </w:tc>
              <w:tc>
                <w:tcPr>
                  <w:tcW w:w="1186" w:type="dxa"/>
                  <w:tcBorders>
                    <w:top w:val="single" w:color="000000" w:sz="2" w:space="0"/>
                    <w:left w:val="single" w:color="000000" w:sz="2" w:space="0"/>
                    <w:bottom w:val="single" w:color="000000" w:sz="2" w:space="0"/>
                    <w:right w:val="single" w:color="000000" w:sz="2" w:space="0"/>
                  </w:tcBorders>
                  <w:vAlign w:val="center"/>
                </w:tcPr>
                <w:p>
                  <w:pPr>
                    <w:jc w:val="center"/>
                  </w:pPr>
                  <w:r>
                    <w:t>HC</w:t>
                  </w:r>
                </w:p>
              </w:tc>
              <w:tc>
                <w:tcPr>
                  <w:tcW w:w="1191" w:type="dxa"/>
                  <w:tcBorders>
                    <w:top w:val="single" w:color="000000" w:sz="2" w:space="0"/>
                    <w:left w:val="single" w:color="000000" w:sz="2" w:space="0"/>
                    <w:bottom w:val="single" w:color="000000" w:sz="2" w:space="0"/>
                    <w:right w:val="nil"/>
                  </w:tcBorders>
                  <w:vAlign w:val="center"/>
                </w:tcPr>
                <w:p>
                  <w:pPr>
                    <w:jc w:val="center"/>
                  </w:pPr>
                  <w:r>
                    <w:t>NOx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7" w:hRule="atLeast"/>
              </w:trPr>
              <w:tc>
                <w:tcPr>
                  <w:tcW w:w="814" w:type="dxa"/>
                  <w:vMerge w:val="restart"/>
                  <w:tcBorders>
                    <w:top w:val="single" w:color="000000" w:sz="2" w:space="0"/>
                    <w:left w:val="nil"/>
                    <w:right w:val="single" w:color="000000" w:sz="2" w:space="0"/>
                  </w:tcBorders>
                  <w:vAlign w:val="center"/>
                </w:tcPr>
                <w:p>
                  <w:pPr>
                    <w:jc w:val="center"/>
                  </w:pPr>
                </w:p>
                <w:p>
                  <w:pPr>
                    <w:jc w:val="center"/>
                  </w:pPr>
                  <w:r>
                    <w:t>汽车</w:t>
                  </w:r>
                </w:p>
              </w:tc>
              <w:tc>
                <w:tcPr>
                  <w:tcW w:w="848" w:type="dxa"/>
                  <w:vMerge w:val="restart"/>
                  <w:tcBorders>
                    <w:top w:val="single" w:color="000000" w:sz="2" w:space="0"/>
                    <w:left w:val="single" w:color="000000" w:sz="2" w:space="0"/>
                    <w:right w:val="single" w:color="000000" w:sz="2" w:space="0"/>
                  </w:tcBorders>
                  <w:vAlign w:val="center"/>
                </w:tcPr>
                <w:p>
                  <w:pPr>
                    <w:jc w:val="center"/>
                  </w:pPr>
                </w:p>
                <w:p>
                  <w:pPr>
                    <w:jc w:val="center"/>
                  </w:pPr>
                  <w:r>
                    <w:t>5</w:t>
                  </w:r>
                  <w:r>
                    <w:rPr>
                      <w:rFonts w:hint="eastAsia"/>
                    </w:rPr>
                    <w:t>4</w:t>
                  </w:r>
                </w:p>
              </w:tc>
              <w:tc>
                <w:tcPr>
                  <w:tcW w:w="1684" w:type="dxa"/>
                  <w:tcBorders>
                    <w:top w:val="single" w:color="000000" w:sz="2" w:space="0"/>
                    <w:left w:val="single" w:color="000000" w:sz="2" w:space="0"/>
                    <w:bottom w:val="single" w:color="000000" w:sz="2" w:space="0"/>
                    <w:right w:val="single" w:color="000000" w:sz="2" w:space="0"/>
                  </w:tcBorders>
                  <w:vAlign w:val="center"/>
                </w:tcPr>
                <w:p>
                  <w:pPr>
                    <w:jc w:val="center"/>
                  </w:pPr>
                  <w:r>
                    <w:t>162辆/日</w:t>
                  </w:r>
                </w:p>
              </w:tc>
              <w:tc>
                <w:tcPr>
                  <w:tcW w:w="1670" w:type="dxa"/>
                  <w:tcBorders>
                    <w:top w:val="single" w:color="000000" w:sz="2" w:space="0"/>
                    <w:left w:val="single" w:color="000000" w:sz="2" w:space="0"/>
                    <w:bottom w:val="single" w:color="000000" w:sz="2" w:space="0"/>
                    <w:right w:val="single" w:color="000000" w:sz="2" w:space="0"/>
                  </w:tcBorders>
                  <w:vAlign w:val="center"/>
                </w:tcPr>
                <w:p>
                  <w:pPr>
                    <w:jc w:val="center"/>
                  </w:pPr>
                  <w:r>
                    <w:t>排放(量g/d)</w:t>
                  </w:r>
                </w:p>
              </w:tc>
              <w:tc>
                <w:tcPr>
                  <w:tcW w:w="1186" w:type="dxa"/>
                  <w:tcBorders>
                    <w:top w:val="single" w:color="000000" w:sz="2" w:space="0"/>
                    <w:left w:val="single" w:color="000000" w:sz="2" w:space="0"/>
                    <w:bottom w:val="single" w:color="000000" w:sz="2" w:space="0"/>
                    <w:right w:val="single" w:color="000000" w:sz="2" w:space="0"/>
                  </w:tcBorders>
                  <w:vAlign w:val="center"/>
                </w:tcPr>
                <w:p>
                  <w:pPr>
                    <w:jc w:val="center"/>
                  </w:pPr>
                  <w:r>
                    <w:t>14.904</w:t>
                  </w:r>
                </w:p>
              </w:tc>
              <w:tc>
                <w:tcPr>
                  <w:tcW w:w="1186" w:type="dxa"/>
                  <w:tcBorders>
                    <w:top w:val="single" w:color="000000" w:sz="2" w:space="0"/>
                    <w:left w:val="single" w:color="000000" w:sz="2" w:space="0"/>
                    <w:bottom w:val="single" w:color="000000" w:sz="2" w:space="0"/>
                    <w:right w:val="single" w:color="000000" w:sz="2" w:space="0"/>
                  </w:tcBorders>
                  <w:vAlign w:val="center"/>
                </w:tcPr>
                <w:p>
                  <w:pPr>
                    <w:jc w:val="center"/>
                  </w:pPr>
                  <w:r>
                    <w:t>1.296</w:t>
                  </w:r>
                </w:p>
              </w:tc>
              <w:tc>
                <w:tcPr>
                  <w:tcW w:w="1191" w:type="dxa"/>
                  <w:tcBorders>
                    <w:top w:val="single" w:color="000000" w:sz="2" w:space="0"/>
                    <w:left w:val="single" w:color="000000" w:sz="2" w:space="0"/>
                    <w:bottom w:val="single" w:color="000000" w:sz="2" w:space="0"/>
                    <w:right w:val="nil"/>
                  </w:tcBorders>
                  <w:vAlign w:val="center"/>
                </w:tcPr>
                <w:p>
                  <w:pPr>
                    <w:jc w:val="center"/>
                  </w:pPr>
                  <w:r>
                    <w:t>0.972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8" w:hRule="atLeast"/>
              </w:trPr>
              <w:tc>
                <w:tcPr>
                  <w:tcW w:w="814" w:type="dxa"/>
                  <w:vMerge w:val="continue"/>
                  <w:tcBorders>
                    <w:top w:val="nil"/>
                    <w:left w:val="nil"/>
                    <w:right w:val="single" w:color="000000" w:sz="2" w:space="0"/>
                  </w:tcBorders>
                  <w:vAlign w:val="center"/>
                </w:tcPr>
                <w:p>
                  <w:pPr>
                    <w:jc w:val="center"/>
                  </w:pPr>
                </w:p>
              </w:tc>
              <w:tc>
                <w:tcPr>
                  <w:tcW w:w="848" w:type="dxa"/>
                  <w:vMerge w:val="continue"/>
                  <w:tcBorders>
                    <w:top w:val="nil"/>
                    <w:left w:val="single" w:color="000000" w:sz="2" w:space="0"/>
                    <w:right w:val="single" w:color="000000" w:sz="2" w:space="0"/>
                  </w:tcBorders>
                  <w:vAlign w:val="center"/>
                </w:tcPr>
                <w:p>
                  <w:pPr>
                    <w:jc w:val="center"/>
                  </w:pPr>
                </w:p>
              </w:tc>
              <w:tc>
                <w:tcPr>
                  <w:tcW w:w="1684" w:type="dxa"/>
                  <w:tcBorders>
                    <w:top w:val="single" w:color="000000" w:sz="2" w:space="0"/>
                    <w:left w:val="single" w:color="000000" w:sz="2" w:space="0"/>
                    <w:right w:val="single" w:color="000000" w:sz="2" w:space="0"/>
                  </w:tcBorders>
                  <w:vAlign w:val="center"/>
                </w:tcPr>
                <w:p>
                  <w:pPr>
                    <w:jc w:val="center"/>
                  </w:pPr>
                  <w:r>
                    <w:t>5.913万辆/a</w:t>
                  </w:r>
                </w:p>
              </w:tc>
              <w:tc>
                <w:tcPr>
                  <w:tcW w:w="1670" w:type="dxa"/>
                  <w:tcBorders>
                    <w:top w:val="single" w:color="000000" w:sz="2" w:space="0"/>
                    <w:left w:val="single" w:color="000000" w:sz="2" w:space="0"/>
                    <w:right w:val="single" w:color="000000" w:sz="2" w:space="0"/>
                  </w:tcBorders>
                  <w:vAlign w:val="center"/>
                </w:tcPr>
                <w:p>
                  <w:pPr>
                    <w:jc w:val="center"/>
                  </w:pPr>
                  <w:r>
                    <w:t>排放量(kg/a)</w:t>
                  </w:r>
                </w:p>
              </w:tc>
              <w:tc>
                <w:tcPr>
                  <w:tcW w:w="1186" w:type="dxa"/>
                  <w:tcBorders>
                    <w:top w:val="single" w:color="000000" w:sz="2" w:space="0"/>
                    <w:left w:val="single" w:color="000000" w:sz="2" w:space="0"/>
                    <w:right w:val="single" w:color="000000" w:sz="2" w:space="0"/>
                  </w:tcBorders>
                  <w:vAlign w:val="center"/>
                </w:tcPr>
                <w:p>
                  <w:pPr>
                    <w:jc w:val="center"/>
                  </w:pPr>
                  <w:r>
                    <w:t>5.44</w:t>
                  </w:r>
                </w:p>
              </w:tc>
              <w:tc>
                <w:tcPr>
                  <w:tcW w:w="1186" w:type="dxa"/>
                  <w:tcBorders>
                    <w:top w:val="single" w:color="000000" w:sz="2" w:space="0"/>
                    <w:left w:val="single" w:color="000000" w:sz="2" w:space="0"/>
                    <w:right w:val="single" w:color="000000" w:sz="2" w:space="0"/>
                  </w:tcBorders>
                  <w:vAlign w:val="center"/>
                </w:tcPr>
                <w:p>
                  <w:pPr>
                    <w:jc w:val="center"/>
                  </w:pPr>
                  <w:r>
                    <w:t>0.473</w:t>
                  </w:r>
                </w:p>
              </w:tc>
              <w:tc>
                <w:tcPr>
                  <w:tcW w:w="1191" w:type="dxa"/>
                  <w:tcBorders>
                    <w:top w:val="single" w:color="000000" w:sz="2" w:space="0"/>
                    <w:left w:val="single" w:color="000000" w:sz="2" w:space="0"/>
                    <w:right w:val="nil"/>
                  </w:tcBorders>
                  <w:vAlign w:val="center"/>
                </w:tcPr>
                <w:p>
                  <w:pPr>
                    <w:jc w:val="center"/>
                  </w:pPr>
                  <w:r>
                    <w:t>0.355</w:t>
                  </w:r>
                </w:p>
              </w:tc>
            </w:tr>
          </w:tbl>
          <w:p>
            <w:pPr>
              <w:pStyle w:val="18"/>
              <w:spacing w:before="5"/>
              <w:rPr>
                <w:b/>
                <w:sz w:val="12"/>
              </w:rPr>
            </w:pPr>
          </w:p>
          <w:p>
            <w:pPr>
              <w:pStyle w:val="79"/>
              <w:ind w:firstLine="480"/>
              <w:rPr>
                <w:color w:val="000000"/>
              </w:rPr>
            </w:pPr>
            <w:r>
              <w:rPr>
                <w:color w:val="000000"/>
                <w:sz w:val="24"/>
                <w:szCs w:val="24"/>
              </w:rPr>
              <w:t>扩建项目地下车库排气口设置的原则及环境管理的要求为：</w:t>
            </w:r>
          </w:p>
          <w:p>
            <w:pPr>
              <w:pStyle w:val="79"/>
              <w:ind w:firstLine="480"/>
              <w:rPr>
                <w:color w:val="000000"/>
                <w:sz w:val="24"/>
                <w:szCs w:val="24"/>
              </w:rPr>
            </w:pPr>
            <w:r>
              <w:rPr>
                <w:color w:val="000000"/>
                <w:sz w:val="24"/>
                <w:szCs w:val="24"/>
              </w:rPr>
              <w:t>（1）在设计地下车库排（风）烟系统时，风量要足够大，要使车库出口保持一定的负压，保证地下车库的换气次数（6次/h），进行强制性机械通风换气，根据上海市环境保护局主编的《机动车停车库（场）环境保护设计技术研究》表明：当地下车库换风次数大于6次/h以上时，排风口废气中主要污染物CO浓度基本能够满足GB3095-2012《环境空气质量标准》中的二级标准（小时平均浓度20 mg/m</w:t>
            </w:r>
            <w:r>
              <w:rPr>
                <w:color w:val="000000"/>
                <w:sz w:val="24"/>
                <w:szCs w:val="24"/>
                <w:vertAlign w:val="superscript"/>
              </w:rPr>
              <w:t>3</w:t>
            </w:r>
            <w:r>
              <w:rPr>
                <w:color w:val="000000"/>
                <w:sz w:val="24"/>
                <w:szCs w:val="24"/>
              </w:rPr>
              <w:t>；日平均浓度6 mg/m</w:t>
            </w:r>
            <w:r>
              <w:rPr>
                <w:color w:val="000000"/>
                <w:sz w:val="24"/>
                <w:szCs w:val="24"/>
                <w:vertAlign w:val="superscript"/>
              </w:rPr>
              <w:t>3</w:t>
            </w:r>
            <w:r>
              <w:rPr>
                <w:color w:val="000000"/>
                <w:sz w:val="24"/>
                <w:szCs w:val="24"/>
              </w:rPr>
              <w:t>）。</w:t>
            </w:r>
          </w:p>
          <w:p>
            <w:pPr>
              <w:pStyle w:val="79"/>
              <w:ind w:firstLine="480"/>
              <w:rPr>
                <w:color w:val="000000"/>
                <w:sz w:val="24"/>
                <w:szCs w:val="24"/>
              </w:rPr>
            </w:pPr>
            <w:r>
              <w:rPr>
                <w:color w:val="000000"/>
                <w:sz w:val="24"/>
                <w:szCs w:val="24"/>
              </w:rPr>
              <w:t>（</w:t>
            </w:r>
            <w:r>
              <w:rPr>
                <w:rFonts w:hint="eastAsia"/>
                <w:color w:val="000000"/>
                <w:sz w:val="24"/>
                <w:szCs w:val="24"/>
              </w:rPr>
              <w:t>2</w:t>
            </w:r>
            <w:r>
              <w:rPr>
                <w:color w:val="000000"/>
                <w:sz w:val="24"/>
                <w:szCs w:val="24"/>
              </w:rPr>
              <w:t>）排气口设置要与景观相结合，在周边种植一些吸收有毒有害气体较强的树木，这对废气也有一定的净化作用；</w:t>
            </w:r>
          </w:p>
          <w:p>
            <w:pPr>
              <w:pStyle w:val="79"/>
              <w:ind w:firstLine="480"/>
              <w:rPr>
                <w:color w:val="000000"/>
                <w:sz w:val="24"/>
                <w:szCs w:val="24"/>
              </w:rPr>
            </w:pPr>
            <w:r>
              <w:rPr>
                <w:color w:val="000000"/>
                <w:sz w:val="24"/>
                <w:szCs w:val="24"/>
              </w:rPr>
              <w:t>（</w:t>
            </w:r>
            <w:r>
              <w:rPr>
                <w:rFonts w:hint="eastAsia"/>
                <w:color w:val="000000"/>
                <w:sz w:val="24"/>
                <w:szCs w:val="24"/>
              </w:rPr>
              <w:t>3</w:t>
            </w:r>
            <w:r>
              <w:rPr>
                <w:color w:val="000000"/>
                <w:sz w:val="24"/>
                <w:szCs w:val="24"/>
              </w:rPr>
              <w:t>）为进一步改善区内环境，通风口设置成百叶窗扇式，并设空气过滤装置以达到美化景观和减少污染物排放的目的；</w:t>
            </w:r>
          </w:p>
          <w:p>
            <w:pPr>
              <w:pStyle w:val="79"/>
              <w:ind w:firstLine="480"/>
              <w:rPr>
                <w:color w:val="000000"/>
                <w:sz w:val="24"/>
                <w:szCs w:val="24"/>
              </w:rPr>
            </w:pPr>
            <w:r>
              <w:rPr>
                <w:color w:val="000000"/>
                <w:sz w:val="24"/>
                <w:szCs w:val="24"/>
              </w:rPr>
              <w:t>（</w:t>
            </w:r>
            <w:r>
              <w:rPr>
                <w:rFonts w:hint="eastAsia"/>
                <w:color w:val="000000"/>
                <w:sz w:val="24"/>
                <w:szCs w:val="24"/>
              </w:rPr>
              <w:t>4</w:t>
            </w:r>
            <w:r>
              <w:rPr>
                <w:color w:val="000000"/>
                <w:sz w:val="24"/>
                <w:szCs w:val="24"/>
              </w:rPr>
              <w:t>）地下车库出入口应设置明显限速禁鸣标志，以保持车辆进出交通秩序畅通；</w:t>
            </w:r>
          </w:p>
          <w:p>
            <w:pPr>
              <w:pStyle w:val="79"/>
              <w:ind w:firstLine="480"/>
              <w:rPr>
                <w:color w:val="000000"/>
                <w:sz w:val="24"/>
                <w:szCs w:val="24"/>
              </w:rPr>
            </w:pPr>
            <w:r>
              <w:rPr>
                <w:color w:val="000000"/>
                <w:sz w:val="24"/>
                <w:szCs w:val="24"/>
              </w:rPr>
              <w:t>（</w:t>
            </w:r>
            <w:r>
              <w:rPr>
                <w:rFonts w:hint="eastAsia"/>
                <w:color w:val="000000"/>
                <w:sz w:val="24"/>
                <w:szCs w:val="24"/>
              </w:rPr>
              <w:t>5</w:t>
            </w:r>
            <w:r>
              <w:rPr>
                <w:color w:val="000000"/>
                <w:sz w:val="24"/>
                <w:szCs w:val="24"/>
              </w:rPr>
              <w:t>）医院在日常管理中落实环境监测制度，一旦发现出风口出现超标现象，应及时检查换气系统，一旦发现有风机不能正常运行，应及时维修或更换配套的风机，确保地下车库排风换气系统的正常运行。</w:t>
            </w:r>
          </w:p>
          <w:p>
            <w:pPr>
              <w:pStyle w:val="79"/>
              <w:ind w:firstLine="480"/>
              <w:rPr>
                <w:color w:val="000000"/>
                <w:sz w:val="24"/>
                <w:szCs w:val="24"/>
              </w:rPr>
            </w:pPr>
            <w:r>
              <w:rPr>
                <w:color w:val="000000"/>
                <w:sz w:val="24"/>
                <w:szCs w:val="24"/>
              </w:rPr>
              <w:t>该扩建项目地下车库排气口严格按照该管理要求实施，预计扩建项目车库汽车尾气各污染物落地浓度均可满足广东省地方标准《大气污染物排放限值》（DB44/27-2001）表2中无组织排放监控浓度限值（NOx：0.12 mg/m</w:t>
            </w:r>
            <w:r>
              <w:rPr>
                <w:color w:val="000000"/>
                <w:sz w:val="24"/>
                <w:szCs w:val="24"/>
                <w:vertAlign w:val="superscript"/>
              </w:rPr>
              <w:t>3</w:t>
            </w:r>
            <w:r>
              <w:rPr>
                <w:color w:val="000000"/>
                <w:sz w:val="24"/>
                <w:szCs w:val="24"/>
              </w:rPr>
              <w:t>；非甲烷总烃：4.0 mg/m</w:t>
            </w:r>
            <w:r>
              <w:rPr>
                <w:color w:val="000000"/>
                <w:sz w:val="24"/>
                <w:szCs w:val="24"/>
                <w:vertAlign w:val="superscript"/>
              </w:rPr>
              <w:t>3</w:t>
            </w:r>
            <w:r>
              <w:rPr>
                <w:color w:val="000000"/>
                <w:sz w:val="24"/>
                <w:szCs w:val="24"/>
              </w:rPr>
              <w:t>，CO：8.0mg/m</w:t>
            </w:r>
            <w:r>
              <w:rPr>
                <w:color w:val="000000"/>
                <w:sz w:val="24"/>
                <w:szCs w:val="24"/>
                <w:vertAlign w:val="superscript"/>
              </w:rPr>
              <w:t>3</w:t>
            </w:r>
            <w:r>
              <w:rPr>
                <w:color w:val="000000"/>
                <w:sz w:val="24"/>
                <w:szCs w:val="24"/>
              </w:rPr>
              <w:t>）。因此，该扩建地下车库汽车尾气不会对周围环境空气产生明显影响。</w:t>
            </w:r>
          </w:p>
          <w:p>
            <w:pPr>
              <w:spacing w:line="360" w:lineRule="auto"/>
              <w:ind w:firstLine="482" w:firstLineChars="200"/>
              <w:rPr>
                <w:b/>
                <w:bCs/>
                <w:color w:val="000000"/>
                <w:sz w:val="24"/>
                <w:szCs w:val="24"/>
              </w:rPr>
            </w:pPr>
            <w:r>
              <w:rPr>
                <w:b/>
                <w:bCs/>
                <w:color w:val="000000"/>
                <w:sz w:val="24"/>
                <w:szCs w:val="24"/>
              </w:rPr>
              <w:t>3、食堂油烟</w:t>
            </w:r>
          </w:p>
          <w:p>
            <w:pPr>
              <w:pStyle w:val="79"/>
              <w:ind w:firstLine="480"/>
              <w:rPr>
                <w:color w:val="000000"/>
                <w:sz w:val="24"/>
                <w:szCs w:val="24"/>
              </w:rPr>
            </w:pPr>
            <w:r>
              <w:rPr>
                <w:rFonts w:hint="eastAsia"/>
                <w:color w:val="000000"/>
                <w:sz w:val="24"/>
                <w:szCs w:val="24"/>
              </w:rPr>
              <w:t>本扩建项目完成后</w:t>
            </w:r>
            <w:r>
              <w:rPr>
                <w:color w:val="000000"/>
                <w:sz w:val="24"/>
                <w:szCs w:val="24"/>
              </w:rPr>
              <w:t>员工</w:t>
            </w:r>
            <w:r>
              <w:rPr>
                <w:rFonts w:hint="eastAsia"/>
                <w:color w:val="000000"/>
                <w:sz w:val="24"/>
                <w:szCs w:val="24"/>
              </w:rPr>
              <w:t>总人数达2</w:t>
            </w:r>
            <w:r>
              <w:rPr>
                <w:color w:val="000000"/>
                <w:sz w:val="24"/>
                <w:szCs w:val="24"/>
              </w:rPr>
              <w:t>30</w:t>
            </w:r>
            <w:r>
              <w:rPr>
                <w:rFonts w:hint="eastAsia"/>
                <w:color w:val="000000"/>
                <w:sz w:val="24"/>
                <w:szCs w:val="24"/>
              </w:rPr>
              <w:t>人（其中现有项目1</w:t>
            </w:r>
            <w:r>
              <w:rPr>
                <w:color w:val="000000"/>
                <w:sz w:val="24"/>
                <w:szCs w:val="24"/>
              </w:rPr>
              <w:t>80</w:t>
            </w:r>
            <w:r>
              <w:rPr>
                <w:rFonts w:hint="eastAsia"/>
                <w:color w:val="000000"/>
                <w:sz w:val="24"/>
                <w:szCs w:val="24"/>
              </w:rPr>
              <w:t>人，本扩建项目新增5</w:t>
            </w:r>
            <w:r>
              <w:rPr>
                <w:color w:val="000000"/>
                <w:sz w:val="24"/>
                <w:szCs w:val="24"/>
              </w:rPr>
              <w:t>0</w:t>
            </w:r>
            <w:r>
              <w:rPr>
                <w:rFonts w:hint="eastAsia"/>
                <w:color w:val="000000"/>
                <w:sz w:val="24"/>
                <w:szCs w:val="24"/>
              </w:rPr>
              <w:t>人），</w:t>
            </w:r>
            <w:r>
              <w:rPr>
                <w:rFonts w:hint="eastAsia"/>
                <w:bCs/>
                <w:snapToGrid w:val="0"/>
                <w:color w:val="000000"/>
                <w:kern w:val="0"/>
                <w:sz w:val="24"/>
                <w:szCs w:val="24"/>
              </w:rPr>
              <w:t>按每日</w:t>
            </w:r>
            <w:r>
              <w:rPr>
                <w:bCs/>
                <w:snapToGrid w:val="0"/>
                <w:color w:val="000000"/>
                <w:kern w:val="0"/>
                <w:sz w:val="24"/>
                <w:szCs w:val="24"/>
              </w:rPr>
              <w:t>早、中、晚餐</w:t>
            </w:r>
            <w:r>
              <w:rPr>
                <w:rFonts w:hint="eastAsia"/>
                <w:bCs/>
                <w:snapToGrid w:val="0"/>
                <w:color w:val="000000"/>
                <w:kern w:val="0"/>
                <w:sz w:val="24"/>
                <w:szCs w:val="24"/>
              </w:rPr>
              <w:t>计</w:t>
            </w:r>
            <w:r>
              <w:rPr>
                <w:bCs/>
                <w:snapToGrid w:val="0"/>
                <w:color w:val="000000"/>
                <w:kern w:val="0"/>
                <w:sz w:val="24"/>
                <w:szCs w:val="24"/>
              </w:rPr>
              <w:t>，</w:t>
            </w:r>
            <w:r>
              <w:rPr>
                <w:color w:val="000000"/>
                <w:sz w:val="24"/>
                <w:szCs w:val="24"/>
              </w:rPr>
              <w:t>食堂就餐规模约</w:t>
            </w:r>
            <w:r>
              <w:rPr>
                <w:rFonts w:hint="eastAsia"/>
                <w:color w:val="000000"/>
                <w:sz w:val="24"/>
                <w:szCs w:val="24"/>
              </w:rPr>
              <w:t>6</w:t>
            </w:r>
            <w:r>
              <w:rPr>
                <w:color w:val="000000"/>
                <w:sz w:val="24"/>
                <w:szCs w:val="24"/>
              </w:rPr>
              <w:t>90人次/d，</w:t>
            </w:r>
            <w:r>
              <w:rPr>
                <w:rFonts w:hint="eastAsia"/>
                <w:bCs/>
                <w:snapToGrid w:val="0"/>
                <w:color w:val="000000"/>
                <w:kern w:val="0"/>
                <w:sz w:val="24"/>
                <w:szCs w:val="24"/>
              </w:rPr>
              <w:t>年平均工作2</w:t>
            </w:r>
            <w:r>
              <w:rPr>
                <w:bCs/>
                <w:snapToGrid w:val="0"/>
                <w:color w:val="000000"/>
                <w:kern w:val="0"/>
                <w:sz w:val="24"/>
                <w:szCs w:val="24"/>
              </w:rPr>
              <w:t>40</w:t>
            </w:r>
            <w:r>
              <w:rPr>
                <w:rFonts w:hint="eastAsia"/>
                <w:bCs/>
                <w:snapToGrid w:val="0"/>
                <w:color w:val="000000"/>
                <w:kern w:val="0"/>
                <w:sz w:val="24"/>
                <w:szCs w:val="24"/>
              </w:rPr>
              <w:t>天</w:t>
            </w:r>
            <w:r>
              <w:rPr>
                <w:color w:val="000000"/>
                <w:sz w:val="24"/>
                <w:szCs w:val="24"/>
              </w:rPr>
              <w:t>。根据对有关统计资料的类比分析，以每位就餐人员将消耗生食品0.5kg/人•次，每吨生食品将消耗30kg的食用油，烹饪时食用油的挥发量为2.5%，则食堂油烟产生量</w:t>
            </w:r>
            <w:r>
              <w:rPr>
                <w:rFonts w:hint="eastAsia"/>
                <w:color w:val="000000"/>
                <w:sz w:val="24"/>
                <w:szCs w:val="24"/>
              </w:rPr>
              <w:t>约</w:t>
            </w:r>
            <w:r>
              <w:rPr>
                <w:color w:val="000000"/>
                <w:sz w:val="24"/>
                <w:szCs w:val="24"/>
              </w:rPr>
              <w:t>0.21kg/d</w:t>
            </w:r>
            <w:r>
              <w:rPr>
                <w:rFonts w:hint="eastAsia"/>
                <w:color w:val="000000"/>
                <w:sz w:val="24"/>
                <w:szCs w:val="24"/>
              </w:rPr>
              <w:t>（0</w:t>
            </w:r>
            <w:r>
              <w:rPr>
                <w:color w:val="000000"/>
                <w:sz w:val="24"/>
                <w:szCs w:val="24"/>
              </w:rPr>
              <w:t>.05t/a</w:t>
            </w:r>
            <w:r>
              <w:rPr>
                <w:rFonts w:hint="eastAsia"/>
                <w:color w:val="000000"/>
                <w:sz w:val="24"/>
                <w:szCs w:val="24"/>
              </w:rPr>
              <w:t>）</w:t>
            </w:r>
            <w:r>
              <w:rPr>
                <w:color w:val="000000"/>
                <w:sz w:val="24"/>
                <w:szCs w:val="24"/>
              </w:rPr>
              <w:t>。食堂抽油烟机</w:t>
            </w:r>
            <w:r>
              <w:rPr>
                <w:rFonts w:hint="eastAsia"/>
                <w:color w:val="000000"/>
                <w:sz w:val="24"/>
                <w:szCs w:val="24"/>
              </w:rPr>
              <w:t>风量约2</w:t>
            </w:r>
            <w:r>
              <w:rPr>
                <w:color w:val="000000"/>
                <w:sz w:val="24"/>
                <w:szCs w:val="24"/>
              </w:rPr>
              <w:t>5000m</w:t>
            </w:r>
            <w:r>
              <w:rPr>
                <w:color w:val="000000"/>
                <w:sz w:val="24"/>
                <w:szCs w:val="24"/>
                <w:vertAlign w:val="superscript"/>
              </w:rPr>
              <w:t>3</w:t>
            </w:r>
            <w:r>
              <w:rPr>
                <w:color w:val="000000"/>
                <w:sz w:val="24"/>
                <w:szCs w:val="24"/>
              </w:rPr>
              <w:t>/h</w:t>
            </w:r>
            <w:r>
              <w:rPr>
                <w:rFonts w:hint="eastAsia"/>
                <w:color w:val="000000"/>
                <w:sz w:val="24"/>
                <w:szCs w:val="24"/>
              </w:rPr>
              <w:t>，</w:t>
            </w:r>
            <w:r>
              <w:rPr>
                <w:color w:val="000000"/>
                <w:sz w:val="24"/>
                <w:szCs w:val="24"/>
              </w:rPr>
              <w:t>净化效率</w:t>
            </w:r>
            <w:r>
              <w:rPr>
                <w:rFonts w:hint="eastAsia"/>
                <w:color w:val="000000"/>
                <w:sz w:val="24"/>
                <w:szCs w:val="24"/>
              </w:rPr>
              <w:t>80</w:t>
            </w:r>
            <w:r>
              <w:rPr>
                <w:color w:val="000000"/>
                <w:sz w:val="24"/>
                <w:szCs w:val="24"/>
              </w:rPr>
              <w:t>%，则</w:t>
            </w:r>
            <w:r>
              <w:rPr>
                <w:rFonts w:hint="eastAsia"/>
                <w:color w:val="000000"/>
                <w:sz w:val="24"/>
                <w:szCs w:val="24"/>
              </w:rPr>
              <w:t>处理后油烟</w:t>
            </w:r>
            <w:r>
              <w:rPr>
                <w:rStyle w:val="33"/>
                <w:kern w:val="0"/>
                <w:sz w:val="24"/>
                <w:szCs w:val="24"/>
              </w:rPr>
              <w:t>排放量为</w:t>
            </w:r>
            <w:r>
              <w:rPr>
                <w:color w:val="000000"/>
                <w:sz w:val="24"/>
                <w:szCs w:val="24"/>
              </w:rPr>
              <w:t>0.042kg/d</w:t>
            </w:r>
            <w:r>
              <w:rPr>
                <w:rFonts w:hint="eastAsia"/>
                <w:color w:val="000000"/>
                <w:sz w:val="24"/>
                <w:szCs w:val="24"/>
              </w:rPr>
              <w:t>（0</w:t>
            </w:r>
            <w:r>
              <w:rPr>
                <w:color w:val="000000"/>
                <w:sz w:val="24"/>
                <w:szCs w:val="24"/>
              </w:rPr>
              <w:t>.01t/a</w:t>
            </w:r>
            <w:r>
              <w:rPr>
                <w:rFonts w:hint="eastAsia"/>
                <w:color w:val="000000"/>
                <w:sz w:val="24"/>
                <w:szCs w:val="24"/>
              </w:rPr>
              <w:t>），排放浓度约1</w:t>
            </w:r>
            <w:r>
              <w:rPr>
                <w:color w:val="000000"/>
                <w:sz w:val="24"/>
                <w:szCs w:val="24"/>
              </w:rPr>
              <w:t>.66 mg/m</w:t>
            </w:r>
            <w:r>
              <w:rPr>
                <w:color w:val="000000"/>
                <w:sz w:val="24"/>
                <w:szCs w:val="24"/>
                <w:vertAlign w:val="superscript"/>
              </w:rPr>
              <w:t>3</w:t>
            </w:r>
            <w:r>
              <w:rPr>
                <w:rFonts w:hint="eastAsia"/>
                <w:color w:val="000000"/>
                <w:sz w:val="24"/>
                <w:szCs w:val="24"/>
              </w:rPr>
              <w:t>，</w:t>
            </w:r>
            <w:r>
              <w:rPr>
                <w:color w:val="000000"/>
                <w:sz w:val="24"/>
                <w:szCs w:val="24"/>
              </w:rPr>
              <w:t>满足《饮食业油烟排放标准（试行）》（GB18483-2001）</w:t>
            </w:r>
            <w:r>
              <w:rPr>
                <w:rFonts w:hint="eastAsia"/>
                <w:color w:val="000000"/>
                <w:sz w:val="24"/>
                <w:szCs w:val="24"/>
              </w:rPr>
              <w:t>≤</w:t>
            </w:r>
            <w:r>
              <w:rPr>
                <w:color w:val="000000"/>
                <w:sz w:val="24"/>
                <w:szCs w:val="24"/>
              </w:rPr>
              <w:t>2.0mg/m</w:t>
            </w:r>
            <w:r>
              <w:rPr>
                <w:color w:val="000000"/>
                <w:sz w:val="24"/>
                <w:szCs w:val="24"/>
                <w:vertAlign w:val="superscript"/>
              </w:rPr>
              <w:t>3</w:t>
            </w:r>
            <w:r>
              <w:rPr>
                <w:color w:val="000000"/>
                <w:sz w:val="24"/>
                <w:szCs w:val="24"/>
              </w:rPr>
              <w:t>的排放要求。</w:t>
            </w:r>
          </w:p>
          <w:p>
            <w:pPr>
              <w:spacing w:line="360" w:lineRule="auto"/>
              <w:rPr>
                <w:b/>
                <w:bCs/>
                <w:color w:val="000000"/>
                <w:sz w:val="24"/>
              </w:rPr>
            </w:pPr>
            <w:r>
              <w:rPr>
                <w:rFonts w:hint="eastAsia"/>
                <w:b/>
                <w:bCs/>
                <w:color w:val="000000"/>
                <w:sz w:val="24"/>
              </w:rPr>
              <w:t>二、</w:t>
            </w:r>
            <w:r>
              <w:rPr>
                <w:b/>
                <w:bCs/>
                <w:color w:val="000000"/>
                <w:sz w:val="24"/>
              </w:rPr>
              <w:t>废</w:t>
            </w:r>
            <w:r>
              <w:rPr>
                <w:rFonts w:hint="eastAsia"/>
                <w:b/>
                <w:bCs/>
                <w:color w:val="000000"/>
                <w:sz w:val="24"/>
              </w:rPr>
              <w:t>水</w:t>
            </w:r>
          </w:p>
          <w:p>
            <w:pPr>
              <w:spacing w:line="360" w:lineRule="auto"/>
              <w:ind w:firstLine="480" w:firstLineChars="200"/>
              <w:rPr>
                <w:sz w:val="24"/>
                <w:szCs w:val="24"/>
              </w:rPr>
            </w:pPr>
            <w:r>
              <w:rPr>
                <w:color w:val="000000"/>
                <w:sz w:val="24"/>
                <w:szCs w:val="24"/>
              </w:rPr>
              <w:t>扩建项目废水主要为</w:t>
            </w:r>
            <w:r>
              <w:rPr>
                <w:rFonts w:hint="eastAsia"/>
                <w:color w:val="000000"/>
                <w:sz w:val="24"/>
                <w:szCs w:val="24"/>
              </w:rPr>
              <w:t>新增</w:t>
            </w:r>
            <w:r>
              <w:rPr>
                <w:color w:val="000000"/>
                <w:sz w:val="24"/>
                <w:szCs w:val="24"/>
              </w:rPr>
              <w:t>病房废水、门诊废水、医务人员办公生活废水、洗衣废水</w:t>
            </w:r>
            <w:r>
              <w:rPr>
                <w:rFonts w:hint="eastAsia"/>
                <w:color w:val="000000"/>
                <w:sz w:val="24"/>
                <w:szCs w:val="24"/>
              </w:rPr>
              <w:t>、食堂废水</w:t>
            </w:r>
            <w:r>
              <w:rPr>
                <w:color w:val="000000"/>
                <w:sz w:val="24"/>
                <w:szCs w:val="24"/>
              </w:rPr>
              <w:t>等。</w:t>
            </w:r>
            <w:r>
              <w:rPr>
                <w:rFonts w:hint="eastAsia"/>
                <w:color w:val="000000"/>
                <w:sz w:val="24"/>
                <w:szCs w:val="24"/>
              </w:rPr>
              <w:t>根据水平衡分析，</w:t>
            </w:r>
            <w:r>
              <w:rPr>
                <w:color w:val="000000"/>
                <w:sz w:val="24"/>
                <w:szCs w:val="24"/>
              </w:rPr>
              <w:t>新增废水产生量为</w:t>
            </w:r>
            <w:r>
              <w:rPr>
                <w:rFonts w:hint="eastAsia"/>
                <w:color w:val="000000"/>
                <w:sz w:val="24"/>
                <w:szCs w:val="24"/>
              </w:rPr>
              <w:t>59.66</w:t>
            </w:r>
            <w:r>
              <w:rPr>
                <w:color w:val="000000"/>
                <w:sz w:val="24"/>
                <w:szCs w:val="24"/>
              </w:rPr>
              <w:t>t/d，即</w:t>
            </w:r>
            <w:r>
              <w:rPr>
                <w:rFonts w:hint="eastAsia"/>
                <w:color w:val="000000"/>
                <w:sz w:val="24"/>
                <w:szCs w:val="24"/>
              </w:rPr>
              <w:t>19831.63</w:t>
            </w:r>
            <w:r>
              <w:rPr>
                <w:color w:val="000000"/>
                <w:sz w:val="24"/>
                <w:szCs w:val="24"/>
              </w:rPr>
              <w:t>m</w:t>
            </w:r>
            <w:r>
              <w:rPr>
                <w:color w:val="000000"/>
                <w:sz w:val="24"/>
                <w:szCs w:val="24"/>
                <w:vertAlign w:val="superscript"/>
              </w:rPr>
              <w:t>3</w:t>
            </w:r>
            <w:r>
              <w:rPr>
                <w:color w:val="000000"/>
                <w:sz w:val="24"/>
                <w:szCs w:val="24"/>
              </w:rPr>
              <w:t>t/a。</w:t>
            </w:r>
          </w:p>
          <w:p>
            <w:pPr>
              <w:spacing w:line="360" w:lineRule="auto"/>
              <w:ind w:firstLine="480" w:firstLineChars="200"/>
              <w:rPr>
                <w:color w:val="000000"/>
                <w:sz w:val="24"/>
                <w:szCs w:val="24"/>
              </w:rPr>
            </w:pPr>
            <w:r>
              <w:rPr>
                <w:rFonts w:hint="eastAsia"/>
                <w:color w:val="000000"/>
                <w:sz w:val="24"/>
                <w:szCs w:val="24"/>
              </w:rPr>
              <w:t>扩建项目医疗废水水质参照《医院废水处理工程技术规范》</w:t>
            </w:r>
            <w:r>
              <w:rPr>
                <w:color w:val="000000"/>
                <w:sz w:val="24"/>
                <w:szCs w:val="24"/>
              </w:rPr>
              <w:t>HJ2029-2013</w:t>
            </w:r>
            <w:r>
              <w:rPr>
                <w:rFonts w:hint="eastAsia"/>
                <w:color w:val="000000"/>
                <w:sz w:val="24"/>
                <w:szCs w:val="24"/>
              </w:rPr>
              <w:t>确定；食堂废水水质参照《环境影响评价工程师职业资格登记培训教材</w:t>
            </w:r>
            <w:r>
              <w:rPr>
                <w:color w:val="000000"/>
                <w:sz w:val="24"/>
                <w:szCs w:val="24"/>
              </w:rPr>
              <w:t xml:space="preserve"> </w:t>
            </w:r>
            <w:r>
              <w:rPr>
                <w:rFonts w:hint="eastAsia"/>
                <w:color w:val="000000"/>
                <w:sz w:val="24"/>
                <w:szCs w:val="24"/>
              </w:rPr>
              <w:t>社会区域类环境影响评价》中餐饮废水水质；</w:t>
            </w:r>
            <w:r>
              <w:rPr>
                <w:color w:val="000000"/>
                <w:sz w:val="24"/>
                <w:szCs w:val="24"/>
              </w:rPr>
              <w:t>办公生活废水</w:t>
            </w:r>
            <w:r>
              <w:rPr>
                <w:rFonts w:hint="eastAsia"/>
                <w:color w:val="000000"/>
                <w:sz w:val="24"/>
                <w:szCs w:val="24"/>
              </w:rPr>
              <w:t>及</w:t>
            </w:r>
            <w:r>
              <w:rPr>
                <w:color w:val="000000"/>
                <w:sz w:val="24"/>
                <w:szCs w:val="24"/>
              </w:rPr>
              <w:t>洗衣废水</w:t>
            </w:r>
            <w:r>
              <w:rPr>
                <w:rFonts w:hint="eastAsia"/>
                <w:color w:val="000000"/>
                <w:sz w:val="24"/>
                <w:szCs w:val="24"/>
              </w:rPr>
              <w:t>水质参照城市生活污水水质。各类型废水中主要污染物产生浓度见下表</w:t>
            </w:r>
            <w:r>
              <w:rPr>
                <w:color w:val="000000"/>
                <w:sz w:val="24"/>
                <w:szCs w:val="24"/>
              </w:rPr>
              <w:t>4</w:t>
            </w:r>
            <w:r>
              <w:rPr>
                <w:rFonts w:hint="eastAsia"/>
                <w:color w:val="000000"/>
                <w:sz w:val="24"/>
                <w:szCs w:val="24"/>
              </w:rPr>
              <w:t>-</w:t>
            </w:r>
            <w:r>
              <w:rPr>
                <w:color w:val="000000"/>
                <w:sz w:val="24"/>
                <w:szCs w:val="24"/>
              </w:rPr>
              <w:t>3</w:t>
            </w:r>
            <w:r>
              <w:rPr>
                <w:rFonts w:hint="eastAsia"/>
                <w:color w:val="000000"/>
                <w:sz w:val="24"/>
                <w:szCs w:val="24"/>
              </w:rPr>
              <w:t>。</w:t>
            </w:r>
          </w:p>
          <w:p>
            <w:pPr>
              <w:pStyle w:val="8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表</w:t>
            </w:r>
            <w:r>
              <w:rPr>
                <w:color w:val="000000" w:themeColor="text1"/>
                <w:sz w:val="24"/>
                <w:szCs w:val="24"/>
                <w14:textFill>
                  <w14:solidFill>
                    <w14:schemeClr w14:val="tx1"/>
                  </w14:solidFill>
                </w14:textFill>
              </w:rPr>
              <w:t>4</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3 </w:t>
            </w:r>
            <w:r>
              <w:rPr>
                <w:rFonts w:hint="eastAsia"/>
                <w:color w:val="000000" w:themeColor="text1"/>
                <w:sz w:val="24"/>
                <w:szCs w:val="24"/>
                <w14:textFill>
                  <w14:solidFill>
                    <w14:schemeClr w14:val="tx1"/>
                  </w14:solidFill>
                </w14:textFill>
              </w:rPr>
              <w:t>各类型废水中主要污染无产生浓度表</w:t>
            </w:r>
          </w:p>
          <w:tbl>
            <w:tblPr>
              <w:tblStyle w:val="28"/>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1914"/>
              <w:gridCol w:w="23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Merge w:val="restart"/>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污染因子</w:t>
                  </w:r>
                </w:p>
              </w:tc>
              <w:tc>
                <w:tcPr>
                  <w:tcW w:w="6392" w:type="dxa"/>
                  <w:gridSpan w:val="3"/>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污染物产生浓度（</w:t>
                  </w:r>
                  <w:r>
                    <w:rPr>
                      <w:color w:val="000000" w:themeColor="text1"/>
                      <w:sz w:val="24"/>
                      <w:szCs w:val="24"/>
                      <w14:textFill>
                        <w14:solidFill>
                          <w14:schemeClr w14:val="tx1"/>
                        </w14:solidFill>
                      </w14:textFill>
                    </w:rPr>
                    <w:t>mg/L</w:t>
                  </w:r>
                  <w:r>
                    <w:rPr>
                      <w:rFonts w:hint="eastAsia"/>
                      <w:color w:val="000000" w:themeColor="text1"/>
                      <w:sz w:val="24"/>
                      <w:szCs w:val="24"/>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Merge w:val="continue"/>
                  <w:tcBorders>
                    <w:bottom w:val="single" w:color="auto" w:sz="12" w:space="0"/>
                  </w:tcBorders>
                  <w:vAlign w:val="center"/>
                </w:tcPr>
                <w:p>
                  <w:pPr>
                    <w:pStyle w:val="80"/>
                    <w:rPr>
                      <w:color w:val="000000" w:themeColor="text1"/>
                      <w:sz w:val="24"/>
                      <w:szCs w:val="24"/>
                      <w14:textFill>
                        <w14:solidFill>
                          <w14:schemeClr w14:val="tx1"/>
                        </w14:solidFill>
                      </w14:textFill>
                    </w:rPr>
                  </w:pPr>
                </w:p>
              </w:tc>
              <w:tc>
                <w:tcPr>
                  <w:tcW w:w="2130" w:type="dxa"/>
                  <w:tcBorders>
                    <w:bottom w:val="single" w:color="auto" w:sz="12" w:space="0"/>
                  </w:tcBorders>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医疗废水</w:t>
                  </w:r>
                </w:p>
              </w:tc>
              <w:tc>
                <w:tcPr>
                  <w:tcW w:w="1914" w:type="dxa"/>
                  <w:tcBorders>
                    <w:bottom w:val="single" w:color="auto" w:sz="12" w:space="0"/>
                  </w:tcBorders>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食堂废水</w:t>
                  </w:r>
                </w:p>
              </w:tc>
              <w:tc>
                <w:tcPr>
                  <w:tcW w:w="2348" w:type="dxa"/>
                  <w:tcBorders>
                    <w:bottom w:val="single" w:color="auto" w:sz="12" w:space="0"/>
                  </w:tcBorders>
                  <w:vAlign w:val="center"/>
                </w:tcPr>
                <w:p>
                  <w:pPr>
                    <w:pStyle w:val="80"/>
                    <w:rPr>
                      <w:color w:val="000000" w:themeColor="text1"/>
                      <w:sz w:val="24"/>
                      <w:szCs w:val="24"/>
                      <w14:textFill>
                        <w14:solidFill>
                          <w14:schemeClr w14:val="tx1"/>
                        </w14:solidFill>
                      </w14:textFill>
                    </w:rPr>
                  </w:pPr>
                  <w:r>
                    <w:rPr>
                      <w:color w:val="000000"/>
                      <w:sz w:val="24"/>
                      <w:szCs w:val="24"/>
                    </w:rPr>
                    <w:t>办公生活废水</w:t>
                  </w:r>
                  <w:r>
                    <w:rPr>
                      <w:rFonts w:hint="eastAsia"/>
                      <w:color w:val="000000"/>
                      <w:sz w:val="24"/>
                      <w:szCs w:val="24"/>
                    </w:rPr>
                    <w:t>及</w:t>
                  </w:r>
                  <w:r>
                    <w:rPr>
                      <w:color w:val="000000"/>
                      <w:sz w:val="24"/>
                      <w:szCs w:val="24"/>
                    </w:rPr>
                    <w:t>洗衣废水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tcBorders>
                    <w:top w:val="single" w:color="auto" w:sz="12" w:space="0"/>
                  </w:tcBorders>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COD</w:t>
                  </w:r>
                </w:p>
              </w:tc>
              <w:tc>
                <w:tcPr>
                  <w:tcW w:w="2130" w:type="dxa"/>
                  <w:tcBorders>
                    <w:top w:val="single" w:color="auto" w:sz="12" w:space="0"/>
                  </w:tcBorders>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250</w:t>
                  </w:r>
                </w:p>
              </w:tc>
              <w:tc>
                <w:tcPr>
                  <w:tcW w:w="1914" w:type="dxa"/>
                  <w:tcBorders>
                    <w:top w:val="single" w:color="auto" w:sz="12" w:space="0"/>
                  </w:tcBorders>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900</w:t>
                  </w:r>
                </w:p>
              </w:tc>
              <w:tc>
                <w:tcPr>
                  <w:tcW w:w="2348" w:type="dxa"/>
                  <w:tcBorders>
                    <w:top w:val="single" w:color="auto" w:sz="12" w:space="0"/>
                  </w:tcBorders>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BOD</w:t>
                  </w:r>
                  <w:r>
                    <w:rPr>
                      <w:color w:val="000000" w:themeColor="text1"/>
                      <w:sz w:val="24"/>
                      <w:szCs w:val="24"/>
                      <w:vertAlign w:val="subscript"/>
                      <w14:textFill>
                        <w14:solidFill>
                          <w14:schemeClr w14:val="tx1"/>
                        </w14:solidFill>
                      </w14:textFill>
                    </w:rPr>
                    <w:t>5</w:t>
                  </w:r>
                </w:p>
              </w:tc>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100</w:t>
                  </w:r>
                </w:p>
              </w:tc>
              <w:tc>
                <w:tcPr>
                  <w:tcW w:w="1914"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500</w:t>
                  </w:r>
                </w:p>
              </w:tc>
              <w:tc>
                <w:tcPr>
                  <w:tcW w:w="2348"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SS</w:t>
                  </w:r>
                </w:p>
              </w:tc>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80</w:t>
                  </w:r>
                </w:p>
              </w:tc>
              <w:tc>
                <w:tcPr>
                  <w:tcW w:w="1914"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250</w:t>
                  </w:r>
                </w:p>
              </w:tc>
              <w:tc>
                <w:tcPr>
                  <w:tcW w:w="2348"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NH</w:t>
                  </w:r>
                  <w:r>
                    <w:rPr>
                      <w:color w:val="000000" w:themeColor="text1"/>
                      <w:sz w:val="24"/>
                      <w:szCs w:val="24"/>
                      <w:vertAlign w:val="subscript"/>
                      <w14:textFill>
                        <w14:solidFill>
                          <w14:schemeClr w14:val="tx1"/>
                        </w14:solidFill>
                      </w14:textFill>
                    </w:rPr>
                    <w:t>3</w:t>
                  </w:r>
                  <w:r>
                    <w:rPr>
                      <w:color w:val="000000" w:themeColor="text1"/>
                      <w:sz w:val="24"/>
                      <w:szCs w:val="24"/>
                      <w14:textFill>
                        <w14:solidFill>
                          <w14:schemeClr w14:val="tx1"/>
                        </w14:solidFill>
                      </w14:textFill>
                    </w:rPr>
                    <w:t>-N</w:t>
                  </w:r>
                </w:p>
              </w:tc>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30</w:t>
                  </w:r>
                </w:p>
              </w:tc>
              <w:tc>
                <w:tcPr>
                  <w:tcW w:w="1914"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30</w:t>
                  </w:r>
                </w:p>
              </w:tc>
              <w:tc>
                <w:tcPr>
                  <w:tcW w:w="2348"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粪大肠菌群数</w:t>
                  </w:r>
                </w:p>
              </w:tc>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1.6×10</w:t>
                  </w:r>
                  <w:r>
                    <w:rPr>
                      <w:color w:val="000000" w:themeColor="text1"/>
                      <w:sz w:val="24"/>
                      <w:szCs w:val="24"/>
                      <w:vertAlign w:val="superscript"/>
                      <w14:textFill>
                        <w14:solidFill>
                          <w14:schemeClr w14:val="tx1"/>
                        </w14:solidFill>
                      </w14:textFill>
                    </w:rPr>
                    <w:t>8</w:t>
                  </w:r>
                  <w:r>
                    <w:rPr>
                      <w:rFonts w:hint="eastAsia"/>
                      <w:color w:val="000000" w:themeColor="text1"/>
                      <w:sz w:val="24"/>
                      <w:szCs w:val="24"/>
                      <w14:textFill>
                        <w14:solidFill>
                          <w14:schemeClr w14:val="tx1"/>
                        </w14:solidFill>
                      </w14:textFill>
                    </w:rPr>
                    <w:t>个</w:t>
                  </w:r>
                  <w:r>
                    <w:rPr>
                      <w:color w:val="000000" w:themeColor="text1"/>
                      <w:sz w:val="24"/>
                      <w:szCs w:val="24"/>
                      <w14:textFill>
                        <w14:solidFill>
                          <w14:schemeClr w14:val="tx1"/>
                        </w14:solidFill>
                      </w14:textFill>
                    </w:rPr>
                    <w:t>/L</w:t>
                  </w:r>
                </w:p>
              </w:tc>
              <w:tc>
                <w:tcPr>
                  <w:tcW w:w="1914"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348"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30" w:type="dxa"/>
                  <w:vAlign w:val="center"/>
                </w:tcPr>
                <w:p>
                  <w:pPr>
                    <w:pStyle w:val="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动植物油</w:t>
                  </w:r>
                </w:p>
              </w:tc>
              <w:tc>
                <w:tcPr>
                  <w:tcW w:w="2130"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914"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1000</w:t>
                  </w:r>
                </w:p>
              </w:tc>
              <w:tc>
                <w:tcPr>
                  <w:tcW w:w="2348" w:type="dxa"/>
                  <w:vAlign w:val="center"/>
                </w:tcPr>
                <w:p>
                  <w:pPr>
                    <w:pStyle w:val="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bl>
          <w:p>
            <w:pPr>
              <w:pStyle w:val="82"/>
              <w:spacing w:before="240"/>
              <w:rPr>
                <w:spacing w:val="-5"/>
                <w:sz w:val="24"/>
                <w:szCs w:val="24"/>
              </w:rPr>
            </w:pPr>
            <w:r>
              <w:rPr>
                <w:rFonts w:hint="eastAsia"/>
                <w:color w:val="000000" w:themeColor="text1"/>
                <w:sz w:val="24"/>
                <w:szCs w:val="24"/>
                <w14:textFill>
                  <w14:solidFill>
                    <w14:schemeClr w14:val="tx1"/>
                  </w14:solidFill>
                </w14:textFill>
              </w:rPr>
              <w:t>表</w:t>
            </w:r>
            <w:r>
              <w:rPr>
                <w:color w:val="000000" w:themeColor="text1"/>
                <w:sz w:val="24"/>
                <w:szCs w:val="24"/>
                <w14:textFill>
                  <w14:solidFill>
                    <w14:schemeClr w14:val="tx1"/>
                  </w14:solidFill>
                </w14:textFill>
              </w:rPr>
              <w:t>4</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4 </w:t>
            </w:r>
            <w:r>
              <w:rPr>
                <w:rFonts w:hint="eastAsia"/>
                <w:color w:val="000000" w:themeColor="text1"/>
                <w:sz w:val="24"/>
                <w:szCs w:val="24"/>
                <w14:textFill>
                  <w14:solidFill>
                    <w14:schemeClr w14:val="tx1"/>
                  </w14:solidFill>
                </w14:textFill>
              </w:rPr>
              <w:t>扩建项目运营期废水中污染物的产生及排放情况</w:t>
            </w:r>
          </w:p>
          <w:tbl>
            <w:tblPr>
              <w:tblStyle w:val="27"/>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021"/>
              <w:gridCol w:w="861"/>
              <w:gridCol w:w="1091"/>
              <w:gridCol w:w="848"/>
              <w:gridCol w:w="822"/>
              <w:gridCol w:w="1103"/>
              <w:gridCol w:w="888"/>
              <w:gridCol w:w="11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6" w:type="dxa"/>
                  <w:vMerge w:val="restart"/>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污染源位置</w:t>
                  </w:r>
                </w:p>
              </w:tc>
              <w:tc>
                <w:tcPr>
                  <w:tcW w:w="1021" w:type="dxa"/>
                  <w:vMerge w:val="restart"/>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排水量（</w:t>
                  </w:r>
                  <w:r>
                    <w:rPr>
                      <w:color w:val="000000"/>
                      <w:kern w:val="0"/>
                    </w:rPr>
                    <w:t>m</w:t>
                  </w:r>
                  <w:r>
                    <w:rPr>
                      <w:color w:val="000000"/>
                      <w:kern w:val="0"/>
                      <w:vertAlign w:val="superscript"/>
                    </w:rPr>
                    <w:t>3</w:t>
                  </w:r>
                  <w:r>
                    <w:rPr>
                      <w:color w:val="000000"/>
                      <w:kern w:val="0"/>
                    </w:rPr>
                    <w:t>/a</w:t>
                  </w:r>
                  <w:r>
                    <w:rPr>
                      <w:rFonts w:hint="eastAsia" w:ascii="宋体" w:hAnsi="宋体" w:cs="宋体"/>
                      <w:color w:val="000000"/>
                      <w:kern w:val="0"/>
                    </w:rPr>
                    <w:t>）</w:t>
                  </w:r>
                </w:p>
              </w:tc>
              <w:tc>
                <w:tcPr>
                  <w:tcW w:w="876" w:type="dxa"/>
                  <w:vMerge w:val="restart"/>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主要污染物</w:t>
                  </w:r>
                </w:p>
              </w:tc>
              <w:tc>
                <w:tcPr>
                  <w:tcW w:w="1939" w:type="dxa"/>
                  <w:gridSpan w:val="2"/>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产生情况</w:t>
                  </w:r>
                </w:p>
              </w:tc>
              <w:tc>
                <w:tcPr>
                  <w:tcW w:w="825" w:type="dxa"/>
                  <w:vMerge w:val="restart"/>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处理效率（</w:t>
                  </w:r>
                  <w:r>
                    <w:rPr>
                      <w:color w:val="000000"/>
                      <w:kern w:val="0"/>
                    </w:rPr>
                    <w:t>%</w:t>
                  </w:r>
                  <w:r>
                    <w:rPr>
                      <w:rFonts w:hint="eastAsia" w:ascii="宋体" w:hAnsi="宋体" w:cs="宋体"/>
                      <w:color w:val="000000"/>
                      <w:kern w:val="0"/>
                    </w:rPr>
                    <w:t>）</w:t>
                  </w:r>
                </w:p>
              </w:tc>
              <w:tc>
                <w:tcPr>
                  <w:tcW w:w="2007" w:type="dxa"/>
                  <w:gridSpan w:val="2"/>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排放情况</w:t>
                  </w:r>
                </w:p>
              </w:tc>
              <w:tc>
                <w:tcPr>
                  <w:tcW w:w="1196" w:type="dxa"/>
                  <w:vMerge w:val="restart"/>
                  <w:shd w:val="clear" w:color="auto" w:fill="auto"/>
                  <w:noWrap/>
                  <w:vAlign w:val="center"/>
                </w:tcPr>
                <w:p>
                  <w:pPr>
                    <w:widowControl/>
                    <w:jc w:val="center"/>
                    <w:rPr>
                      <w:rFonts w:hint="eastAsia" w:ascii="宋体" w:hAnsi="宋体" w:cs="宋体"/>
                      <w:color w:val="000000"/>
                      <w:kern w:val="0"/>
                    </w:rPr>
                  </w:pPr>
                  <w:r>
                    <w:rPr>
                      <w:rFonts w:hint="eastAsia" w:ascii="宋体" w:hAnsi="宋体" w:cs="宋体"/>
                      <w:color w:val="000000"/>
                      <w:kern w:val="0"/>
                    </w:rPr>
                    <w:t>排放标准（</w:t>
                  </w:r>
                  <w:r>
                    <w:rPr>
                      <w:color w:val="000000"/>
                      <w:kern w:val="0"/>
                    </w:rPr>
                    <w:t>mg/L</w:t>
                  </w:r>
                  <w:r>
                    <w:rPr>
                      <w:rFonts w:hint="eastAsia" w:ascii="宋体" w:hAnsi="宋体" w:cs="宋体"/>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87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ascii="宋体" w:hAnsi="宋体" w:cs="宋体"/>
                      <w:color w:val="000000"/>
                      <w:kern w:val="0"/>
                    </w:rPr>
                  </w:pPr>
                </w:p>
              </w:tc>
              <w:tc>
                <w:tcPr>
                  <w:tcW w:w="876" w:type="dxa"/>
                  <w:vMerge w:val="continue"/>
                  <w:vAlign w:val="center"/>
                </w:tcPr>
                <w:p>
                  <w:pPr>
                    <w:widowControl/>
                    <w:jc w:val="center"/>
                    <w:rPr>
                      <w:rFonts w:ascii="宋体" w:hAnsi="宋体" w:cs="宋体"/>
                      <w:color w:val="000000"/>
                      <w:kern w:val="0"/>
                    </w:rPr>
                  </w:pPr>
                </w:p>
              </w:tc>
              <w:tc>
                <w:tcPr>
                  <w:tcW w:w="1091" w:type="dxa"/>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产生浓度（</w:t>
                  </w:r>
                  <w:r>
                    <w:rPr>
                      <w:color w:val="000000"/>
                      <w:kern w:val="0"/>
                    </w:rPr>
                    <w:t>mg/L</w:t>
                  </w:r>
                  <w:r>
                    <w:rPr>
                      <w:rFonts w:hint="eastAsia" w:ascii="宋体" w:hAnsi="宋体" w:cs="宋体"/>
                      <w:color w:val="000000"/>
                      <w:kern w:val="0"/>
                    </w:rPr>
                    <w:t>）</w:t>
                  </w:r>
                </w:p>
              </w:tc>
              <w:tc>
                <w:tcPr>
                  <w:tcW w:w="848" w:type="dxa"/>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产生量（</w:t>
                  </w:r>
                  <w:r>
                    <w:rPr>
                      <w:color w:val="000000"/>
                      <w:kern w:val="0"/>
                    </w:rPr>
                    <w:t>t/a</w:t>
                  </w:r>
                  <w:r>
                    <w:rPr>
                      <w:rFonts w:hint="eastAsia" w:ascii="宋体" w:hAnsi="宋体" w:cs="宋体"/>
                      <w:color w:val="000000"/>
                      <w:kern w:val="0"/>
                    </w:rPr>
                    <w:t>）</w:t>
                  </w:r>
                </w:p>
              </w:tc>
              <w:tc>
                <w:tcPr>
                  <w:tcW w:w="825" w:type="dxa"/>
                  <w:vMerge w:val="continue"/>
                  <w:vAlign w:val="center"/>
                </w:tcPr>
                <w:p>
                  <w:pPr>
                    <w:widowControl/>
                    <w:jc w:val="center"/>
                    <w:rPr>
                      <w:rFonts w:ascii="宋体" w:hAnsi="宋体" w:cs="宋体"/>
                      <w:color w:val="000000"/>
                      <w:kern w:val="0"/>
                    </w:rPr>
                  </w:pPr>
                </w:p>
              </w:tc>
              <w:tc>
                <w:tcPr>
                  <w:tcW w:w="1107" w:type="dxa"/>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排放浓度（</w:t>
                  </w:r>
                  <w:r>
                    <w:rPr>
                      <w:color w:val="000000"/>
                      <w:kern w:val="0"/>
                    </w:rPr>
                    <w:t>mg/L</w:t>
                  </w:r>
                  <w:r>
                    <w:rPr>
                      <w:rFonts w:hint="eastAsia" w:ascii="宋体" w:hAnsi="宋体" w:cs="宋体"/>
                      <w:color w:val="000000"/>
                      <w:kern w:val="0"/>
                    </w:rPr>
                    <w:t>）</w:t>
                  </w:r>
                </w:p>
              </w:tc>
              <w:tc>
                <w:tcPr>
                  <w:tcW w:w="900" w:type="dxa"/>
                  <w:shd w:val="clear" w:color="auto" w:fill="auto"/>
                  <w:vAlign w:val="center"/>
                </w:tcPr>
                <w:p>
                  <w:pPr>
                    <w:widowControl/>
                    <w:jc w:val="center"/>
                    <w:rPr>
                      <w:rFonts w:hint="eastAsia" w:ascii="宋体" w:hAnsi="宋体" w:cs="宋体"/>
                      <w:color w:val="000000"/>
                      <w:kern w:val="0"/>
                    </w:rPr>
                  </w:pPr>
                  <w:r>
                    <w:rPr>
                      <w:rFonts w:hint="eastAsia" w:ascii="宋体" w:hAnsi="宋体" w:cs="宋体"/>
                      <w:color w:val="000000"/>
                      <w:kern w:val="0"/>
                    </w:rPr>
                    <w:t>排放量（</w:t>
                  </w:r>
                  <w:r>
                    <w:rPr>
                      <w:color w:val="000000"/>
                      <w:kern w:val="0"/>
                    </w:rPr>
                    <w:t>t/a</w:t>
                  </w:r>
                  <w:r>
                    <w:rPr>
                      <w:rFonts w:hint="eastAsia" w:ascii="宋体" w:hAnsi="宋体" w:cs="宋体"/>
                      <w:color w:val="000000"/>
                      <w:kern w:val="0"/>
                    </w:rPr>
                    <w:t>）</w:t>
                  </w:r>
                </w:p>
              </w:tc>
              <w:tc>
                <w:tcPr>
                  <w:tcW w:w="1196" w:type="dxa"/>
                  <w:vMerge w:val="continue"/>
                  <w:shd w:val="clear" w:color="auto" w:fill="auto"/>
                  <w:noWrap/>
                  <w:vAlign w:val="center"/>
                </w:tcPr>
                <w:p>
                  <w:pPr>
                    <w:jc w:val="cente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46" w:type="dxa"/>
                  <w:vMerge w:val="restart"/>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医疗废水</w:t>
                  </w:r>
                </w:p>
              </w:tc>
              <w:tc>
                <w:tcPr>
                  <w:tcW w:w="1021" w:type="dxa"/>
                  <w:vMerge w:val="restart"/>
                  <w:shd w:val="clear" w:color="auto" w:fill="auto"/>
                  <w:vAlign w:val="center"/>
                </w:tcPr>
                <w:p>
                  <w:pPr>
                    <w:widowControl/>
                    <w:jc w:val="center"/>
                    <w:rPr>
                      <w:rFonts w:hint="eastAsia" w:eastAsia="等线"/>
                      <w:color w:val="000000"/>
                      <w:kern w:val="0"/>
                    </w:rPr>
                  </w:pPr>
                  <w:r>
                    <w:rPr>
                      <w:rFonts w:eastAsia="等线"/>
                      <w:color w:val="000000"/>
                      <w:kern w:val="0"/>
                    </w:rPr>
                    <w:t>7374.83</w:t>
                  </w:r>
                </w:p>
              </w:tc>
              <w:tc>
                <w:tcPr>
                  <w:tcW w:w="876" w:type="dxa"/>
                  <w:shd w:val="clear" w:color="auto" w:fill="auto"/>
                  <w:vAlign w:val="center"/>
                </w:tcPr>
                <w:p>
                  <w:pPr>
                    <w:widowControl/>
                    <w:jc w:val="center"/>
                    <w:rPr>
                      <w:rFonts w:eastAsia="等线"/>
                      <w:color w:val="000000"/>
                      <w:kern w:val="0"/>
                    </w:rPr>
                  </w:pPr>
                  <w:r>
                    <w:rPr>
                      <w:rFonts w:eastAsia="等线"/>
                      <w:color w:val="000000"/>
                      <w:kern w:val="0"/>
                    </w:rPr>
                    <w:t>COD</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250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1.84</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21.77</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BOD</w:t>
                  </w:r>
                  <w:r>
                    <w:rPr>
                      <w:rFonts w:eastAsia="等线"/>
                      <w:color w:val="000000"/>
                      <w:kern w:val="0"/>
                      <w:vertAlign w:val="subscript"/>
                    </w:rPr>
                    <w:t>5</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100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0.74</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10.16</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SS</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80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0.59</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4.64</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NH</w:t>
                  </w:r>
                  <w:r>
                    <w:rPr>
                      <w:rFonts w:eastAsia="等线"/>
                      <w:color w:val="000000"/>
                      <w:kern w:val="0"/>
                      <w:vertAlign w:val="subscript"/>
                    </w:rPr>
                    <w:t>3</w:t>
                  </w:r>
                  <w:r>
                    <w:rPr>
                      <w:rFonts w:eastAsia="等线"/>
                      <w:color w:val="000000"/>
                      <w:kern w:val="0"/>
                    </w:rPr>
                    <w:t>-N</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0.22</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3.05</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6" w:type="dxa"/>
                  <w:vMerge w:val="restart"/>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食堂废水</w:t>
                  </w:r>
                </w:p>
              </w:tc>
              <w:tc>
                <w:tcPr>
                  <w:tcW w:w="1021" w:type="dxa"/>
                  <w:vMerge w:val="restart"/>
                  <w:shd w:val="clear" w:color="auto" w:fill="auto"/>
                  <w:vAlign w:val="center"/>
                </w:tcPr>
                <w:p>
                  <w:pPr>
                    <w:widowControl/>
                    <w:jc w:val="center"/>
                    <w:rPr>
                      <w:rFonts w:hint="eastAsia" w:eastAsia="等线"/>
                      <w:color w:val="000000"/>
                      <w:kern w:val="0"/>
                    </w:rPr>
                  </w:pPr>
                  <w:r>
                    <w:rPr>
                      <w:rFonts w:eastAsia="等线"/>
                      <w:color w:val="000000"/>
                      <w:kern w:val="0"/>
                    </w:rPr>
                    <w:t>3726</w:t>
                  </w:r>
                </w:p>
              </w:tc>
              <w:tc>
                <w:tcPr>
                  <w:tcW w:w="876" w:type="dxa"/>
                  <w:shd w:val="clear" w:color="auto" w:fill="auto"/>
                  <w:vAlign w:val="center"/>
                </w:tcPr>
                <w:p>
                  <w:pPr>
                    <w:widowControl/>
                    <w:jc w:val="center"/>
                    <w:rPr>
                      <w:rFonts w:eastAsia="等线"/>
                      <w:color w:val="000000"/>
                      <w:kern w:val="0"/>
                    </w:rPr>
                  </w:pPr>
                  <w:r>
                    <w:rPr>
                      <w:rFonts w:eastAsia="等线"/>
                      <w:color w:val="000000"/>
                      <w:kern w:val="0"/>
                    </w:rPr>
                    <w:t>COD</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900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3.35</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7.54</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BOD5</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500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1.86</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4.43</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SS</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250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0.93</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1.72</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NH</w:t>
                  </w:r>
                  <w:r>
                    <w:rPr>
                      <w:rFonts w:eastAsia="等线"/>
                      <w:color w:val="000000"/>
                      <w:kern w:val="0"/>
                      <w:vertAlign w:val="subscript"/>
                    </w:rPr>
                    <w:t>3</w:t>
                  </w:r>
                  <w:r>
                    <w:rPr>
                      <w:rFonts w:eastAsia="等线"/>
                      <w:color w:val="000000"/>
                      <w:kern w:val="0"/>
                    </w:rPr>
                    <w:t>-N</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0.11</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0.3</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动植物油</w:t>
                  </w:r>
                </w:p>
              </w:tc>
              <w:tc>
                <w:tcPr>
                  <w:tcW w:w="1091" w:type="dxa"/>
                  <w:shd w:val="clear" w:color="auto" w:fill="auto"/>
                  <w:vAlign w:val="center"/>
                </w:tcPr>
                <w:p>
                  <w:pPr>
                    <w:widowControl/>
                    <w:jc w:val="center"/>
                    <w:rPr>
                      <w:rFonts w:hint="eastAsia" w:eastAsia="等线"/>
                      <w:color w:val="000000"/>
                      <w:kern w:val="0"/>
                    </w:rPr>
                  </w:pPr>
                  <w:r>
                    <w:rPr>
                      <w:rFonts w:eastAsia="等线"/>
                      <w:color w:val="000000"/>
                      <w:kern w:val="0"/>
                    </w:rPr>
                    <w:t>1000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3.73</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w:t>
                  </w:r>
                </w:p>
              </w:tc>
              <w:tc>
                <w:tcPr>
                  <w:tcW w:w="900" w:type="dxa"/>
                  <w:shd w:val="clear" w:color="auto" w:fill="auto"/>
                  <w:vAlign w:val="center"/>
                </w:tcPr>
                <w:p>
                  <w:pPr>
                    <w:widowControl/>
                    <w:jc w:val="center"/>
                    <w:rPr>
                      <w:rFonts w:eastAsia="等线"/>
                      <w:color w:val="000000"/>
                      <w:kern w:val="0"/>
                    </w:rPr>
                  </w:pPr>
                  <w:r>
                    <w:rPr>
                      <w:rFonts w:eastAsia="等线"/>
                      <w:color w:val="000000"/>
                      <w:kern w:val="0"/>
                    </w:rPr>
                    <w:t>1.97</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746" w:type="dxa"/>
                  <w:vMerge w:val="restart"/>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办公生活废水及洗衣废水</w:t>
                  </w:r>
                </w:p>
              </w:tc>
              <w:tc>
                <w:tcPr>
                  <w:tcW w:w="1021" w:type="dxa"/>
                  <w:vMerge w:val="restart"/>
                  <w:shd w:val="clear" w:color="auto" w:fill="auto"/>
                  <w:vAlign w:val="center"/>
                </w:tcPr>
                <w:p>
                  <w:pPr>
                    <w:widowControl/>
                    <w:jc w:val="center"/>
                    <w:rPr>
                      <w:rFonts w:hint="eastAsia" w:eastAsia="等线"/>
                      <w:color w:val="000000"/>
                      <w:kern w:val="0"/>
                    </w:rPr>
                  </w:pPr>
                  <w:r>
                    <w:rPr>
                      <w:rFonts w:eastAsia="等线"/>
                      <w:color w:val="000000"/>
                      <w:kern w:val="0"/>
                    </w:rPr>
                    <w:t>8730.8</w:t>
                  </w:r>
                </w:p>
              </w:tc>
              <w:tc>
                <w:tcPr>
                  <w:tcW w:w="876" w:type="dxa"/>
                  <w:shd w:val="clear" w:color="auto" w:fill="auto"/>
                  <w:vAlign w:val="center"/>
                </w:tcPr>
                <w:p>
                  <w:pPr>
                    <w:widowControl/>
                    <w:jc w:val="center"/>
                    <w:rPr>
                      <w:rFonts w:eastAsia="等线"/>
                      <w:color w:val="000000"/>
                      <w:kern w:val="0"/>
                    </w:rPr>
                  </w:pPr>
                  <w:r>
                    <w:rPr>
                      <w:rFonts w:eastAsia="等线"/>
                      <w:color w:val="000000"/>
                      <w:kern w:val="0"/>
                    </w:rPr>
                    <w:t>COD</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2.62</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jc w:val="center"/>
                  </w:pPr>
                  <w:r>
                    <w:rPr>
                      <w:rFonts w:eastAsia="等线"/>
                      <w:color w:val="000000"/>
                      <w:kern w:val="0"/>
                    </w:rPr>
                    <w:t>-</w:t>
                  </w:r>
                </w:p>
              </w:tc>
              <w:tc>
                <w:tcPr>
                  <w:tcW w:w="900" w:type="dxa"/>
                  <w:shd w:val="clear" w:color="auto" w:fill="auto"/>
                  <w:vAlign w:val="center"/>
                </w:tcPr>
                <w:p>
                  <w:pPr>
                    <w:jc w:val="center"/>
                  </w:pPr>
                  <w:r>
                    <w:rPr>
                      <w:rFonts w:eastAsia="等线"/>
                      <w:color w:val="000000"/>
                      <w:kern w:val="0"/>
                    </w:rPr>
                    <w:t>-</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BOD</w:t>
                  </w:r>
                  <w:r>
                    <w:rPr>
                      <w:rFonts w:eastAsia="等线"/>
                      <w:color w:val="000000"/>
                      <w:kern w:val="0"/>
                      <w:vertAlign w:val="subscript"/>
                    </w:rPr>
                    <w:t>5</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170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1.48</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jc w:val="center"/>
                  </w:pPr>
                  <w:r>
                    <w:rPr>
                      <w:rFonts w:eastAsia="等线"/>
                      <w:color w:val="000000"/>
                      <w:kern w:val="0"/>
                    </w:rPr>
                    <w:t>-</w:t>
                  </w:r>
                </w:p>
              </w:tc>
              <w:tc>
                <w:tcPr>
                  <w:tcW w:w="900" w:type="dxa"/>
                  <w:shd w:val="clear" w:color="auto" w:fill="auto"/>
                  <w:vAlign w:val="center"/>
                </w:tcPr>
                <w:p>
                  <w:pPr>
                    <w:jc w:val="center"/>
                  </w:pPr>
                  <w:r>
                    <w:rPr>
                      <w:rFonts w:eastAsia="等线"/>
                      <w:color w:val="000000"/>
                      <w:kern w:val="0"/>
                    </w:rPr>
                    <w:t>-</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SS</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200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1.75</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jc w:val="center"/>
                  </w:pPr>
                  <w:r>
                    <w:rPr>
                      <w:rFonts w:eastAsia="等线"/>
                      <w:color w:val="000000"/>
                      <w:kern w:val="0"/>
                    </w:rPr>
                    <w:t>-</w:t>
                  </w:r>
                </w:p>
              </w:tc>
              <w:tc>
                <w:tcPr>
                  <w:tcW w:w="900" w:type="dxa"/>
                  <w:shd w:val="clear" w:color="auto" w:fill="auto"/>
                  <w:vAlign w:val="center"/>
                </w:tcPr>
                <w:p>
                  <w:pPr>
                    <w:jc w:val="center"/>
                  </w:pPr>
                  <w:r>
                    <w:rPr>
                      <w:rFonts w:eastAsia="等线"/>
                      <w:color w:val="000000"/>
                      <w:kern w:val="0"/>
                    </w:rPr>
                    <w:t>-</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eastAsia="等线"/>
                      <w:color w:val="000000"/>
                      <w:kern w:val="0"/>
                    </w:rPr>
                  </w:pPr>
                  <w:r>
                    <w:rPr>
                      <w:rFonts w:eastAsia="等线"/>
                      <w:color w:val="000000"/>
                      <w:kern w:val="0"/>
                    </w:rPr>
                    <w:t>NH</w:t>
                  </w:r>
                  <w:r>
                    <w:rPr>
                      <w:rFonts w:eastAsia="等线"/>
                      <w:color w:val="000000"/>
                      <w:kern w:val="0"/>
                      <w:vertAlign w:val="subscript"/>
                    </w:rPr>
                    <w:t>3</w:t>
                  </w:r>
                  <w:r>
                    <w:rPr>
                      <w:rFonts w:eastAsia="等线"/>
                      <w:color w:val="000000"/>
                      <w:kern w:val="0"/>
                    </w:rPr>
                    <w:t>-N</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0.26</w:t>
                  </w:r>
                </w:p>
              </w:tc>
              <w:tc>
                <w:tcPr>
                  <w:tcW w:w="825" w:type="dxa"/>
                  <w:shd w:val="clear" w:color="auto" w:fill="auto"/>
                  <w:vAlign w:val="center"/>
                </w:tcPr>
                <w:p>
                  <w:pPr>
                    <w:widowControl/>
                    <w:jc w:val="center"/>
                    <w:rPr>
                      <w:rFonts w:eastAsia="等线"/>
                      <w:color w:val="000000"/>
                      <w:kern w:val="0"/>
                    </w:rPr>
                  </w:pPr>
                  <w:r>
                    <w:rPr>
                      <w:rFonts w:eastAsia="等线"/>
                      <w:color w:val="000000"/>
                      <w:kern w:val="0"/>
                    </w:rPr>
                    <w:t>-</w:t>
                  </w:r>
                </w:p>
              </w:tc>
              <w:tc>
                <w:tcPr>
                  <w:tcW w:w="1107" w:type="dxa"/>
                  <w:shd w:val="clear" w:color="auto" w:fill="auto"/>
                  <w:vAlign w:val="center"/>
                </w:tcPr>
                <w:p>
                  <w:pPr>
                    <w:jc w:val="center"/>
                  </w:pPr>
                  <w:r>
                    <w:rPr>
                      <w:rFonts w:eastAsia="等线"/>
                      <w:color w:val="000000"/>
                      <w:kern w:val="0"/>
                    </w:rPr>
                    <w:t>-</w:t>
                  </w:r>
                </w:p>
              </w:tc>
              <w:tc>
                <w:tcPr>
                  <w:tcW w:w="900" w:type="dxa"/>
                  <w:shd w:val="clear" w:color="auto" w:fill="auto"/>
                  <w:vAlign w:val="center"/>
                </w:tcPr>
                <w:p>
                  <w:pPr>
                    <w:jc w:val="center"/>
                  </w:pPr>
                  <w:r>
                    <w:rPr>
                      <w:rFonts w:eastAsia="等线"/>
                      <w:color w:val="000000"/>
                      <w:kern w:val="0"/>
                    </w:rPr>
                    <w:t>-</w:t>
                  </w:r>
                </w:p>
              </w:tc>
              <w:tc>
                <w:tcPr>
                  <w:tcW w:w="1196" w:type="dxa"/>
                  <w:shd w:val="clear" w:color="auto" w:fill="auto"/>
                  <w:noWrap/>
                  <w:vAlign w:val="center"/>
                </w:tcPr>
                <w:p>
                  <w:pPr>
                    <w:jc w:val="center"/>
                  </w:pPr>
                  <w:r>
                    <w:rPr>
                      <w:rFonts w:eastAsia="等线"/>
                      <w:color w:val="000000"/>
                      <w:kern w:val="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46" w:type="dxa"/>
                  <w:vMerge w:val="restart"/>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混合废水</w:t>
                  </w:r>
                </w:p>
              </w:tc>
              <w:tc>
                <w:tcPr>
                  <w:tcW w:w="1021" w:type="dxa"/>
                  <w:vMerge w:val="restart"/>
                  <w:shd w:val="clear" w:color="auto" w:fill="auto"/>
                  <w:vAlign w:val="center"/>
                </w:tcPr>
                <w:p>
                  <w:pPr>
                    <w:widowControl/>
                    <w:jc w:val="center"/>
                    <w:rPr>
                      <w:rFonts w:hint="eastAsia" w:eastAsia="等线"/>
                      <w:color w:val="000000"/>
                      <w:kern w:val="0"/>
                    </w:rPr>
                  </w:pPr>
                  <w:r>
                    <w:rPr>
                      <w:rFonts w:eastAsia="等线"/>
                      <w:color w:val="000000"/>
                      <w:kern w:val="0"/>
                    </w:rPr>
                    <w:t>19831.63</w:t>
                  </w:r>
                </w:p>
              </w:tc>
              <w:tc>
                <w:tcPr>
                  <w:tcW w:w="876" w:type="dxa"/>
                  <w:shd w:val="clear" w:color="auto" w:fill="auto"/>
                  <w:vAlign w:val="center"/>
                </w:tcPr>
                <w:p>
                  <w:pPr>
                    <w:widowControl/>
                    <w:jc w:val="center"/>
                    <w:rPr>
                      <w:rFonts w:eastAsia="等线"/>
                      <w:color w:val="000000"/>
                      <w:kern w:val="0"/>
                    </w:rPr>
                  </w:pPr>
                  <w:r>
                    <w:rPr>
                      <w:rFonts w:eastAsia="等线"/>
                      <w:color w:val="000000"/>
                      <w:kern w:val="0"/>
                    </w:rPr>
                    <w:t>COD</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394.1</w:t>
                  </w:r>
                </w:p>
              </w:tc>
              <w:tc>
                <w:tcPr>
                  <w:tcW w:w="848" w:type="dxa"/>
                  <w:shd w:val="clear" w:color="auto" w:fill="auto"/>
                  <w:vAlign w:val="center"/>
                </w:tcPr>
                <w:p>
                  <w:pPr>
                    <w:widowControl/>
                    <w:jc w:val="center"/>
                    <w:rPr>
                      <w:rFonts w:eastAsia="等线"/>
                      <w:color w:val="000000"/>
                      <w:kern w:val="0"/>
                    </w:rPr>
                  </w:pPr>
                  <w:r>
                    <w:rPr>
                      <w:rFonts w:eastAsia="等线"/>
                      <w:color w:val="000000"/>
                      <w:kern w:val="0"/>
                    </w:rPr>
                    <w:t>7.82</w:t>
                  </w:r>
                </w:p>
              </w:tc>
              <w:tc>
                <w:tcPr>
                  <w:tcW w:w="825" w:type="dxa"/>
                  <w:shd w:val="clear" w:color="auto" w:fill="auto"/>
                  <w:vAlign w:val="center"/>
                </w:tcPr>
                <w:p>
                  <w:pPr>
                    <w:widowControl/>
                    <w:jc w:val="center"/>
                    <w:rPr>
                      <w:rFonts w:eastAsia="等线"/>
                      <w:color w:val="000000"/>
                      <w:kern w:val="0"/>
                    </w:rPr>
                  </w:pPr>
                  <w:r>
                    <w:rPr>
                      <w:rFonts w:eastAsia="等线"/>
                      <w:color w:val="000000"/>
                      <w:kern w:val="0"/>
                    </w:rPr>
                    <w:t>90%</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39.41</w:t>
                  </w:r>
                </w:p>
              </w:tc>
              <w:tc>
                <w:tcPr>
                  <w:tcW w:w="900" w:type="dxa"/>
                  <w:shd w:val="clear" w:color="auto" w:fill="auto"/>
                  <w:vAlign w:val="center"/>
                </w:tcPr>
                <w:p>
                  <w:pPr>
                    <w:widowControl/>
                    <w:jc w:val="center"/>
                    <w:rPr>
                      <w:rFonts w:eastAsia="等线"/>
                      <w:color w:val="000000"/>
                      <w:kern w:val="0"/>
                    </w:rPr>
                  </w:pPr>
                  <w:r>
                    <w:rPr>
                      <w:rFonts w:eastAsia="等线"/>
                      <w:color w:val="000000"/>
                    </w:rPr>
                    <w:t>0.78</w:t>
                  </w:r>
                </w:p>
              </w:tc>
              <w:tc>
                <w:tcPr>
                  <w:tcW w:w="1196" w:type="dxa"/>
                  <w:shd w:val="clear" w:color="000000" w:fill="FFFFFF"/>
                  <w:vAlign w:val="center"/>
                </w:tcPr>
                <w:p>
                  <w:pPr>
                    <w:widowControl/>
                    <w:jc w:val="center"/>
                    <w:rPr>
                      <w:rFonts w:ascii="宋体" w:hAnsi="宋体" w:cs="宋体"/>
                      <w:color w:val="000000"/>
                      <w:kern w:val="0"/>
                    </w:rPr>
                  </w:pPr>
                  <w:r>
                    <w:rPr>
                      <w:color w:val="000000"/>
                      <w:kern w:val="0"/>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hint="eastAsia" w:eastAsia="等线"/>
                      <w:color w:val="000000"/>
                      <w:kern w:val="0"/>
                    </w:rPr>
                  </w:pPr>
                  <w:r>
                    <w:rPr>
                      <w:rFonts w:eastAsia="等线"/>
                      <w:color w:val="000000"/>
                      <w:kern w:val="0"/>
                    </w:rPr>
                    <w:t>BOD</w:t>
                  </w:r>
                  <w:r>
                    <w:rPr>
                      <w:rFonts w:eastAsia="等线"/>
                      <w:color w:val="000000"/>
                      <w:kern w:val="0"/>
                      <w:vertAlign w:val="subscript"/>
                    </w:rPr>
                    <w:t>5</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206.0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4.08</w:t>
                  </w:r>
                </w:p>
              </w:tc>
              <w:tc>
                <w:tcPr>
                  <w:tcW w:w="825" w:type="dxa"/>
                  <w:shd w:val="clear" w:color="auto" w:fill="auto"/>
                  <w:vAlign w:val="center"/>
                </w:tcPr>
                <w:p>
                  <w:pPr>
                    <w:widowControl/>
                    <w:jc w:val="center"/>
                    <w:rPr>
                      <w:rFonts w:eastAsia="等线"/>
                      <w:color w:val="000000"/>
                      <w:kern w:val="0"/>
                    </w:rPr>
                  </w:pPr>
                  <w:r>
                    <w:rPr>
                      <w:rFonts w:eastAsia="等线"/>
                      <w:color w:val="000000"/>
                      <w:kern w:val="0"/>
                    </w:rPr>
                    <w:t>95%</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10.30</w:t>
                  </w:r>
                </w:p>
              </w:tc>
              <w:tc>
                <w:tcPr>
                  <w:tcW w:w="900" w:type="dxa"/>
                  <w:shd w:val="clear" w:color="auto" w:fill="auto"/>
                  <w:vAlign w:val="center"/>
                </w:tcPr>
                <w:p>
                  <w:pPr>
                    <w:jc w:val="center"/>
                    <w:rPr>
                      <w:rFonts w:eastAsia="等线"/>
                      <w:color w:val="000000"/>
                    </w:rPr>
                  </w:pPr>
                  <w:r>
                    <w:rPr>
                      <w:rFonts w:eastAsia="等线"/>
                      <w:color w:val="000000"/>
                    </w:rPr>
                    <w:t>0.20</w:t>
                  </w:r>
                </w:p>
              </w:tc>
              <w:tc>
                <w:tcPr>
                  <w:tcW w:w="1196" w:type="dxa"/>
                  <w:shd w:val="clear" w:color="000000" w:fill="FFFFFF"/>
                  <w:vAlign w:val="center"/>
                </w:tcPr>
                <w:p>
                  <w:pPr>
                    <w:widowControl/>
                    <w:jc w:val="center"/>
                    <w:rPr>
                      <w:rFonts w:ascii="宋体" w:hAnsi="宋体" w:cs="宋体"/>
                      <w:color w:val="000000"/>
                      <w:kern w:val="0"/>
                    </w:rPr>
                  </w:pPr>
                  <w:r>
                    <w:rPr>
                      <w:color w:val="000000"/>
                      <w:kern w:val="0"/>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hint="eastAsia" w:eastAsia="等线"/>
                      <w:color w:val="000000"/>
                      <w:kern w:val="0"/>
                    </w:rPr>
                  </w:pPr>
                  <w:r>
                    <w:rPr>
                      <w:rFonts w:eastAsia="等线"/>
                      <w:color w:val="000000"/>
                      <w:kern w:val="0"/>
                    </w:rPr>
                    <w:t>SS</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164.8</w:t>
                  </w:r>
                </w:p>
              </w:tc>
              <w:tc>
                <w:tcPr>
                  <w:tcW w:w="848" w:type="dxa"/>
                  <w:shd w:val="clear" w:color="auto" w:fill="auto"/>
                  <w:vAlign w:val="center"/>
                </w:tcPr>
                <w:p>
                  <w:pPr>
                    <w:widowControl/>
                    <w:jc w:val="center"/>
                    <w:rPr>
                      <w:rFonts w:eastAsia="等线"/>
                      <w:color w:val="000000"/>
                      <w:kern w:val="0"/>
                    </w:rPr>
                  </w:pPr>
                  <w:r>
                    <w:rPr>
                      <w:rFonts w:eastAsia="等线"/>
                      <w:color w:val="000000"/>
                      <w:kern w:val="0"/>
                    </w:rPr>
                    <w:t>3.27</w:t>
                  </w:r>
                </w:p>
              </w:tc>
              <w:tc>
                <w:tcPr>
                  <w:tcW w:w="825" w:type="dxa"/>
                  <w:shd w:val="clear" w:color="auto" w:fill="auto"/>
                  <w:vAlign w:val="center"/>
                </w:tcPr>
                <w:p>
                  <w:pPr>
                    <w:widowControl/>
                    <w:jc w:val="center"/>
                    <w:rPr>
                      <w:rFonts w:eastAsia="等线"/>
                      <w:color w:val="000000"/>
                      <w:kern w:val="0"/>
                    </w:rPr>
                  </w:pPr>
                  <w:r>
                    <w:rPr>
                      <w:rFonts w:eastAsia="等线"/>
                      <w:color w:val="000000"/>
                      <w:kern w:val="0"/>
                    </w:rPr>
                    <w:t>90%</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16.48</w:t>
                  </w:r>
                </w:p>
              </w:tc>
              <w:tc>
                <w:tcPr>
                  <w:tcW w:w="900" w:type="dxa"/>
                  <w:shd w:val="clear" w:color="auto" w:fill="auto"/>
                  <w:vAlign w:val="center"/>
                </w:tcPr>
                <w:p>
                  <w:pPr>
                    <w:jc w:val="center"/>
                    <w:rPr>
                      <w:rFonts w:eastAsia="等线"/>
                      <w:color w:val="000000"/>
                    </w:rPr>
                  </w:pPr>
                  <w:r>
                    <w:rPr>
                      <w:rFonts w:eastAsia="等线"/>
                      <w:color w:val="000000"/>
                    </w:rPr>
                    <w:t>0.33</w:t>
                  </w:r>
                </w:p>
              </w:tc>
              <w:tc>
                <w:tcPr>
                  <w:tcW w:w="1196" w:type="dxa"/>
                  <w:shd w:val="clear" w:color="000000" w:fill="FFFFFF"/>
                  <w:vAlign w:val="center"/>
                </w:tcPr>
                <w:p>
                  <w:pPr>
                    <w:widowControl/>
                    <w:jc w:val="center"/>
                    <w:rPr>
                      <w:rFonts w:ascii="宋体" w:hAnsi="宋体" w:cs="宋体"/>
                      <w:color w:val="000000"/>
                      <w:kern w:val="0"/>
                    </w:rPr>
                  </w:pPr>
                  <w:r>
                    <w:rPr>
                      <w:color w:val="000000"/>
                      <w:kern w:val="0"/>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hint="eastAsia" w:eastAsia="等线"/>
                      <w:color w:val="000000"/>
                      <w:kern w:val="0"/>
                    </w:rPr>
                  </w:pPr>
                  <w:r>
                    <w:rPr>
                      <w:rFonts w:eastAsia="等线"/>
                      <w:color w:val="000000"/>
                      <w:kern w:val="0"/>
                    </w:rPr>
                    <w:t>NH</w:t>
                  </w:r>
                  <w:r>
                    <w:rPr>
                      <w:rFonts w:eastAsia="等线"/>
                      <w:color w:val="000000"/>
                      <w:kern w:val="0"/>
                      <w:vertAlign w:val="subscript"/>
                    </w:rPr>
                    <w:t>3</w:t>
                  </w:r>
                  <w:r>
                    <w:rPr>
                      <w:rFonts w:eastAsia="等线"/>
                      <w:color w:val="000000"/>
                      <w:kern w:val="0"/>
                    </w:rPr>
                    <w:t>-N</w:t>
                  </w:r>
                </w:p>
              </w:tc>
              <w:tc>
                <w:tcPr>
                  <w:tcW w:w="1091" w:type="dxa"/>
                  <w:shd w:val="clear" w:color="auto" w:fill="auto"/>
                  <w:vAlign w:val="center"/>
                </w:tcPr>
                <w:p>
                  <w:pPr>
                    <w:widowControl/>
                    <w:jc w:val="center"/>
                    <w:rPr>
                      <w:rFonts w:eastAsia="等线"/>
                      <w:color w:val="000000"/>
                      <w:kern w:val="0"/>
                    </w:rPr>
                  </w:pPr>
                  <w:r>
                    <w:rPr>
                      <w:rFonts w:eastAsia="等线"/>
                      <w:color w:val="000000"/>
                      <w:kern w:val="0"/>
                    </w:rPr>
                    <w:t>30.0</w:t>
                  </w:r>
                </w:p>
              </w:tc>
              <w:tc>
                <w:tcPr>
                  <w:tcW w:w="848" w:type="dxa"/>
                  <w:shd w:val="clear" w:color="auto" w:fill="auto"/>
                  <w:vAlign w:val="center"/>
                </w:tcPr>
                <w:p>
                  <w:pPr>
                    <w:widowControl/>
                    <w:jc w:val="center"/>
                    <w:rPr>
                      <w:rFonts w:eastAsia="等线"/>
                      <w:color w:val="000000"/>
                      <w:kern w:val="0"/>
                    </w:rPr>
                  </w:pPr>
                  <w:r>
                    <w:rPr>
                      <w:rFonts w:eastAsia="等线"/>
                      <w:color w:val="000000"/>
                      <w:kern w:val="0"/>
                    </w:rPr>
                    <w:t>0.59</w:t>
                  </w:r>
                </w:p>
              </w:tc>
              <w:tc>
                <w:tcPr>
                  <w:tcW w:w="825" w:type="dxa"/>
                  <w:shd w:val="clear" w:color="auto" w:fill="auto"/>
                  <w:vAlign w:val="center"/>
                </w:tcPr>
                <w:p>
                  <w:pPr>
                    <w:widowControl/>
                    <w:jc w:val="center"/>
                    <w:rPr>
                      <w:rFonts w:eastAsia="等线"/>
                      <w:color w:val="000000"/>
                      <w:kern w:val="0"/>
                    </w:rPr>
                  </w:pPr>
                  <w:r>
                    <w:rPr>
                      <w:rFonts w:eastAsia="等线"/>
                      <w:color w:val="000000"/>
                      <w:kern w:val="0"/>
                    </w:rPr>
                    <w:t>60%</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12.00</w:t>
                  </w:r>
                </w:p>
              </w:tc>
              <w:tc>
                <w:tcPr>
                  <w:tcW w:w="900" w:type="dxa"/>
                  <w:shd w:val="clear" w:color="auto" w:fill="auto"/>
                  <w:vAlign w:val="center"/>
                </w:tcPr>
                <w:p>
                  <w:pPr>
                    <w:jc w:val="center"/>
                    <w:rPr>
                      <w:rFonts w:eastAsia="等线"/>
                      <w:color w:val="000000"/>
                    </w:rPr>
                  </w:pPr>
                  <w:r>
                    <w:rPr>
                      <w:rFonts w:eastAsia="等线"/>
                      <w:color w:val="000000"/>
                    </w:rPr>
                    <w:t>0.24</w:t>
                  </w:r>
                </w:p>
              </w:tc>
              <w:tc>
                <w:tcPr>
                  <w:tcW w:w="1196" w:type="dxa"/>
                  <w:shd w:val="clear" w:color="000000" w:fill="FFFFFF"/>
                  <w:vAlign w:val="center"/>
                </w:tcPr>
                <w:p>
                  <w:pPr>
                    <w:widowControl/>
                    <w:jc w:val="center"/>
                    <w:rPr>
                      <w:rFonts w:eastAsia="等线"/>
                      <w:color w:val="000000"/>
                      <w:kern w:val="0"/>
                    </w:rPr>
                  </w:pPr>
                  <w:r>
                    <w:rPr>
                      <w:rFonts w:eastAsia="等线"/>
                      <w:color w:val="000000"/>
                      <w:kern w:val="0"/>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746" w:type="dxa"/>
                  <w:vMerge w:val="continue"/>
                  <w:vAlign w:val="center"/>
                </w:tcPr>
                <w:p>
                  <w:pPr>
                    <w:widowControl/>
                    <w:jc w:val="center"/>
                    <w:rPr>
                      <w:rFonts w:ascii="宋体" w:hAnsi="宋体" w:cs="宋体"/>
                      <w:color w:val="000000"/>
                      <w:kern w:val="0"/>
                    </w:rPr>
                  </w:pPr>
                </w:p>
              </w:tc>
              <w:tc>
                <w:tcPr>
                  <w:tcW w:w="1021" w:type="dxa"/>
                  <w:vMerge w:val="continue"/>
                  <w:vAlign w:val="center"/>
                </w:tcPr>
                <w:p>
                  <w:pPr>
                    <w:widowControl/>
                    <w:jc w:val="center"/>
                    <w:rPr>
                      <w:rFonts w:eastAsia="等线"/>
                      <w:color w:val="000000"/>
                      <w:kern w:val="0"/>
                    </w:rPr>
                  </w:pPr>
                </w:p>
              </w:tc>
              <w:tc>
                <w:tcPr>
                  <w:tcW w:w="876" w:type="dxa"/>
                  <w:shd w:val="clear" w:color="auto" w:fill="auto"/>
                  <w:vAlign w:val="center"/>
                </w:tcPr>
                <w:p>
                  <w:pPr>
                    <w:widowControl/>
                    <w:jc w:val="center"/>
                    <w:rPr>
                      <w:rFonts w:ascii="宋体" w:hAnsi="宋体" w:cs="宋体"/>
                      <w:color w:val="000000"/>
                      <w:kern w:val="0"/>
                    </w:rPr>
                  </w:pPr>
                  <w:r>
                    <w:rPr>
                      <w:rFonts w:hint="eastAsia" w:ascii="宋体" w:hAnsi="宋体" w:cs="宋体"/>
                      <w:color w:val="000000"/>
                      <w:kern w:val="0"/>
                    </w:rPr>
                    <w:t>动植物油</w:t>
                  </w:r>
                </w:p>
              </w:tc>
              <w:tc>
                <w:tcPr>
                  <w:tcW w:w="1091" w:type="dxa"/>
                  <w:shd w:val="clear" w:color="auto" w:fill="auto"/>
                  <w:vAlign w:val="center"/>
                </w:tcPr>
                <w:p>
                  <w:pPr>
                    <w:widowControl/>
                    <w:jc w:val="center"/>
                    <w:rPr>
                      <w:rFonts w:hint="eastAsia" w:eastAsia="等线"/>
                      <w:color w:val="000000"/>
                      <w:kern w:val="0"/>
                    </w:rPr>
                  </w:pPr>
                  <w:r>
                    <w:rPr>
                      <w:rFonts w:eastAsia="等线"/>
                      <w:color w:val="000000"/>
                      <w:kern w:val="0"/>
                    </w:rPr>
                    <w:t>187.9</w:t>
                  </w:r>
                </w:p>
              </w:tc>
              <w:tc>
                <w:tcPr>
                  <w:tcW w:w="848" w:type="dxa"/>
                  <w:shd w:val="clear" w:color="auto" w:fill="auto"/>
                  <w:vAlign w:val="center"/>
                </w:tcPr>
                <w:p>
                  <w:pPr>
                    <w:widowControl/>
                    <w:jc w:val="center"/>
                    <w:rPr>
                      <w:rFonts w:eastAsia="等线"/>
                      <w:color w:val="000000"/>
                      <w:kern w:val="0"/>
                    </w:rPr>
                  </w:pPr>
                  <w:r>
                    <w:rPr>
                      <w:rFonts w:eastAsia="等线"/>
                      <w:color w:val="000000"/>
                      <w:kern w:val="0"/>
                    </w:rPr>
                    <w:t>3.73</w:t>
                  </w:r>
                </w:p>
              </w:tc>
              <w:tc>
                <w:tcPr>
                  <w:tcW w:w="825" w:type="dxa"/>
                  <w:shd w:val="clear" w:color="auto" w:fill="auto"/>
                  <w:vAlign w:val="center"/>
                </w:tcPr>
                <w:p>
                  <w:pPr>
                    <w:widowControl/>
                    <w:jc w:val="center"/>
                    <w:rPr>
                      <w:rFonts w:eastAsia="等线"/>
                      <w:color w:val="000000"/>
                      <w:kern w:val="0"/>
                    </w:rPr>
                  </w:pPr>
                  <w:r>
                    <w:rPr>
                      <w:rFonts w:eastAsia="等线"/>
                      <w:color w:val="000000"/>
                      <w:kern w:val="0"/>
                    </w:rPr>
                    <w:t>98%</w:t>
                  </w:r>
                </w:p>
              </w:tc>
              <w:tc>
                <w:tcPr>
                  <w:tcW w:w="1107" w:type="dxa"/>
                  <w:shd w:val="clear" w:color="auto" w:fill="auto"/>
                  <w:vAlign w:val="center"/>
                </w:tcPr>
                <w:p>
                  <w:pPr>
                    <w:widowControl/>
                    <w:jc w:val="center"/>
                    <w:rPr>
                      <w:rFonts w:eastAsia="等线"/>
                      <w:color w:val="000000"/>
                      <w:kern w:val="0"/>
                    </w:rPr>
                  </w:pPr>
                  <w:r>
                    <w:rPr>
                      <w:rFonts w:eastAsia="等线"/>
                      <w:color w:val="000000"/>
                      <w:kern w:val="0"/>
                    </w:rPr>
                    <w:t>3.76</w:t>
                  </w:r>
                </w:p>
              </w:tc>
              <w:tc>
                <w:tcPr>
                  <w:tcW w:w="900" w:type="dxa"/>
                  <w:shd w:val="clear" w:color="auto" w:fill="auto"/>
                  <w:vAlign w:val="center"/>
                </w:tcPr>
                <w:p>
                  <w:pPr>
                    <w:jc w:val="center"/>
                    <w:rPr>
                      <w:rFonts w:eastAsia="等线"/>
                      <w:color w:val="000000"/>
                    </w:rPr>
                  </w:pPr>
                  <w:r>
                    <w:rPr>
                      <w:rFonts w:eastAsia="等线"/>
                      <w:color w:val="000000"/>
                    </w:rPr>
                    <w:t>0.07</w:t>
                  </w:r>
                </w:p>
              </w:tc>
              <w:tc>
                <w:tcPr>
                  <w:tcW w:w="1196" w:type="dxa"/>
                  <w:shd w:val="clear" w:color="000000" w:fill="FFFFFF"/>
                  <w:vAlign w:val="center"/>
                </w:tcPr>
                <w:p>
                  <w:pPr>
                    <w:widowControl/>
                    <w:jc w:val="center"/>
                    <w:rPr>
                      <w:rFonts w:ascii="宋体" w:hAnsi="宋体" w:cs="宋体"/>
                      <w:color w:val="000000"/>
                      <w:kern w:val="0"/>
                    </w:rPr>
                  </w:pPr>
                  <w:r>
                    <w:rPr>
                      <w:color w:val="000000"/>
                      <w:kern w:val="0"/>
                    </w:rPr>
                    <w:t>5</w:t>
                  </w:r>
                </w:p>
              </w:tc>
            </w:tr>
          </w:tbl>
          <w:p>
            <w:pPr>
              <w:spacing w:before="240" w:line="360" w:lineRule="auto"/>
              <w:ind w:firstLine="460" w:firstLineChars="200"/>
              <w:rPr>
                <w:sz w:val="7"/>
              </w:rPr>
            </w:pPr>
            <w:r>
              <w:rPr>
                <w:rFonts w:hint="eastAsia"/>
                <w:spacing w:val="-5"/>
                <w:sz w:val="24"/>
                <w:szCs w:val="24"/>
              </w:rPr>
              <w:t>扩建项目实施后新增</w:t>
            </w:r>
            <w:r>
              <w:rPr>
                <w:spacing w:val="-5"/>
                <w:sz w:val="24"/>
                <w:szCs w:val="24"/>
              </w:rPr>
              <w:t>废水</w:t>
            </w:r>
            <w:r>
              <w:rPr>
                <w:rFonts w:hint="eastAsia"/>
                <w:spacing w:val="-5"/>
                <w:sz w:val="24"/>
                <w:szCs w:val="24"/>
              </w:rPr>
              <w:t>排水</w:t>
            </w:r>
            <w:r>
              <w:rPr>
                <w:spacing w:val="-5"/>
                <w:sz w:val="24"/>
                <w:szCs w:val="24"/>
              </w:rPr>
              <w:t>量为</w:t>
            </w:r>
            <w:r>
              <w:rPr>
                <w:rFonts w:hint="eastAsia"/>
                <w:spacing w:val="-5"/>
                <w:sz w:val="24"/>
                <w:szCs w:val="24"/>
              </w:rPr>
              <w:t>59.66</w:t>
            </w:r>
            <w:r>
              <w:rPr>
                <w:rFonts w:eastAsia="Times New Roman"/>
                <w:sz w:val="24"/>
                <w:szCs w:val="24"/>
              </w:rPr>
              <w:t>m</w:t>
            </w:r>
            <w:r>
              <w:rPr>
                <w:rFonts w:eastAsia="Times New Roman"/>
                <w:spacing w:val="-2"/>
                <w:w w:val="104"/>
                <w:position w:val="8"/>
                <w:sz w:val="15"/>
                <w:szCs w:val="15"/>
              </w:rPr>
              <w:t>3</w:t>
            </w:r>
            <w:r>
              <w:rPr>
                <w:rFonts w:eastAsia="Times New Roman"/>
                <w:sz w:val="24"/>
                <w:szCs w:val="24"/>
              </w:rPr>
              <w:t>/</w:t>
            </w:r>
            <w:r>
              <w:rPr>
                <w:rFonts w:eastAsia="Times New Roman"/>
                <w:spacing w:val="-1"/>
                <w:sz w:val="24"/>
                <w:szCs w:val="24"/>
              </w:rPr>
              <w:t>d</w:t>
            </w:r>
            <w:r>
              <w:rPr>
                <w:spacing w:val="-9"/>
                <w:sz w:val="24"/>
                <w:szCs w:val="24"/>
              </w:rPr>
              <w:t>，</w:t>
            </w:r>
            <w:r>
              <w:rPr>
                <w:rFonts w:hint="eastAsia"/>
                <w:spacing w:val="-9"/>
                <w:sz w:val="24"/>
                <w:szCs w:val="24"/>
              </w:rPr>
              <w:t>依托现有</w:t>
            </w:r>
            <w:r>
              <w:rPr>
                <w:spacing w:val="-9"/>
                <w:sz w:val="24"/>
                <w:szCs w:val="24"/>
              </w:rPr>
              <w:t>废水处理站进行处理</w:t>
            </w:r>
            <w:r>
              <w:rPr>
                <w:rFonts w:hint="eastAsia"/>
                <w:spacing w:val="-9"/>
                <w:sz w:val="24"/>
                <w:szCs w:val="24"/>
              </w:rPr>
              <w:t>。</w:t>
            </w:r>
            <w:r>
              <w:rPr>
                <w:spacing w:val="-9"/>
                <w:sz w:val="24"/>
                <w:szCs w:val="24"/>
              </w:rPr>
              <w:t>废水处理站采用地埋式</w:t>
            </w:r>
            <w:r>
              <w:rPr>
                <w:rFonts w:eastAsia="Times New Roman"/>
                <w:spacing w:val="-9"/>
                <w:sz w:val="24"/>
                <w:szCs w:val="24"/>
              </w:rPr>
              <w:t>“</w:t>
            </w:r>
            <w:r>
              <w:rPr>
                <w:spacing w:val="-9"/>
                <w:sz w:val="24"/>
                <w:szCs w:val="24"/>
              </w:rPr>
              <w:t>预处理</w:t>
            </w:r>
            <w:r>
              <w:rPr>
                <w:rFonts w:eastAsia="Times New Roman"/>
                <w:spacing w:val="-9"/>
                <w:sz w:val="24"/>
                <w:szCs w:val="24"/>
              </w:rPr>
              <w:t xml:space="preserve">+A/O </w:t>
            </w:r>
            <w:r>
              <w:rPr>
                <w:sz w:val="24"/>
                <w:szCs w:val="24"/>
              </w:rPr>
              <w:t>接触氧化生化</w:t>
            </w:r>
            <w:r>
              <w:rPr>
                <w:rFonts w:eastAsia="Times New Roman"/>
                <w:sz w:val="24"/>
                <w:szCs w:val="24"/>
              </w:rPr>
              <w:t>+</w:t>
            </w:r>
            <w:r>
              <w:rPr>
                <w:sz w:val="24"/>
                <w:szCs w:val="24"/>
              </w:rPr>
              <w:t>过滤</w:t>
            </w:r>
            <w:r>
              <w:rPr>
                <w:rFonts w:eastAsia="Times New Roman"/>
                <w:sz w:val="24"/>
                <w:szCs w:val="24"/>
              </w:rPr>
              <w:t>+</w:t>
            </w:r>
            <w:r>
              <w:rPr>
                <w:sz w:val="24"/>
                <w:szCs w:val="24"/>
              </w:rPr>
              <w:t>消毒</w:t>
            </w:r>
            <w:r>
              <w:rPr>
                <w:rFonts w:eastAsia="Times New Roman"/>
                <w:sz w:val="24"/>
                <w:szCs w:val="24"/>
              </w:rPr>
              <w:t>”</w:t>
            </w:r>
            <w:r>
              <w:rPr>
                <w:sz w:val="24"/>
                <w:szCs w:val="24"/>
              </w:rPr>
              <w:t>处理工艺</w:t>
            </w:r>
            <w:r>
              <w:rPr>
                <w:rFonts w:eastAsia="Times New Roman"/>
                <w:sz w:val="24"/>
                <w:szCs w:val="24"/>
              </w:rPr>
              <w:t>”</w:t>
            </w:r>
            <w:r>
              <w:rPr>
                <w:sz w:val="24"/>
                <w:szCs w:val="24"/>
              </w:rPr>
              <w:t>。</w:t>
            </w:r>
            <w:r>
              <w:rPr>
                <w:spacing w:val="-4"/>
                <w:sz w:val="24"/>
                <w:szCs w:val="24"/>
              </w:rPr>
              <w:t>医疗废水处理站</w:t>
            </w:r>
            <w:r>
              <w:rPr>
                <w:rFonts w:hint="eastAsia"/>
                <w:spacing w:val="-4"/>
                <w:sz w:val="24"/>
                <w:szCs w:val="24"/>
              </w:rPr>
              <w:t>总处理能力约</w:t>
            </w:r>
            <w:r>
              <w:rPr>
                <w:rFonts w:eastAsia="Times New Roman"/>
                <w:sz w:val="24"/>
                <w:szCs w:val="24"/>
              </w:rPr>
              <w:t>150m</w:t>
            </w:r>
            <w:r>
              <w:rPr>
                <w:rFonts w:eastAsia="Times New Roman"/>
                <w:position w:val="8"/>
                <w:sz w:val="15"/>
                <w:szCs w:val="15"/>
              </w:rPr>
              <w:t>3</w:t>
            </w:r>
            <w:r>
              <w:rPr>
                <w:rFonts w:eastAsia="Times New Roman"/>
                <w:sz w:val="24"/>
                <w:szCs w:val="24"/>
              </w:rPr>
              <w:t>/d</w:t>
            </w:r>
            <w:r>
              <w:rPr>
                <w:sz w:val="24"/>
                <w:szCs w:val="24"/>
              </w:rPr>
              <w:t>，</w:t>
            </w:r>
            <w:r>
              <w:rPr>
                <w:rFonts w:hint="eastAsia"/>
                <w:sz w:val="24"/>
                <w:szCs w:val="24"/>
              </w:rPr>
              <w:t>原有工程处理量为67.6</w:t>
            </w:r>
            <w:r>
              <w:rPr>
                <w:rFonts w:eastAsia="Times New Roman"/>
                <w:sz w:val="24"/>
                <w:szCs w:val="24"/>
              </w:rPr>
              <w:t>m</w:t>
            </w:r>
            <w:r>
              <w:rPr>
                <w:rFonts w:eastAsia="Times New Roman"/>
                <w:position w:val="8"/>
                <w:sz w:val="15"/>
                <w:szCs w:val="15"/>
              </w:rPr>
              <w:t>3</w:t>
            </w:r>
            <w:r>
              <w:rPr>
                <w:rFonts w:eastAsia="Times New Roman"/>
                <w:sz w:val="24"/>
                <w:szCs w:val="24"/>
              </w:rPr>
              <w:t>/d</w:t>
            </w:r>
            <w:r>
              <w:rPr>
                <w:rFonts w:hint="eastAsia"/>
                <w:sz w:val="24"/>
                <w:szCs w:val="24"/>
              </w:rPr>
              <w:t>，剩余处理能力为82.4</w:t>
            </w:r>
            <w:r>
              <w:rPr>
                <w:rFonts w:eastAsia="Times New Roman"/>
                <w:sz w:val="24"/>
                <w:szCs w:val="24"/>
              </w:rPr>
              <w:t>m</w:t>
            </w:r>
            <w:r>
              <w:rPr>
                <w:rFonts w:eastAsia="Times New Roman"/>
                <w:position w:val="8"/>
                <w:sz w:val="15"/>
                <w:szCs w:val="15"/>
              </w:rPr>
              <w:t>3</w:t>
            </w:r>
            <w:r>
              <w:rPr>
                <w:rFonts w:eastAsia="Times New Roman"/>
                <w:sz w:val="24"/>
                <w:szCs w:val="24"/>
              </w:rPr>
              <w:t>/d</w:t>
            </w:r>
            <w:r>
              <w:rPr>
                <w:rFonts w:hint="eastAsia"/>
                <w:sz w:val="24"/>
                <w:szCs w:val="24"/>
              </w:rPr>
              <w:t>，能满足扩建工程新增废水处理量，消毒池容量为400</w:t>
            </w:r>
            <w:r>
              <w:rPr>
                <w:rFonts w:eastAsia="Times New Roman"/>
                <w:sz w:val="24"/>
                <w:szCs w:val="24"/>
              </w:rPr>
              <w:t>m</w:t>
            </w:r>
            <w:r>
              <w:rPr>
                <w:rFonts w:eastAsia="Times New Roman"/>
                <w:position w:val="8"/>
                <w:sz w:val="15"/>
                <w:szCs w:val="15"/>
              </w:rPr>
              <w:t>3</w:t>
            </w:r>
            <w:r>
              <w:rPr>
                <w:rFonts w:hint="eastAsia"/>
                <w:color w:val="000000"/>
                <w:sz w:val="24"/>
                <w:szCs w:val="24"/>
              </w:rPr>
              <w:t>。</w:t>
            </w:r>
            <w:r>
              <w:rPr>
                <w:sz w:val="24"/>
                <w:szCs w:val="24"/>
              </w:rPr>
              <w:t>工艺流程如下：</w:t>
            </w:r>
            <w:r>
              <w:rPr>
                <w:rFonts w:hint="eastAsia"/>
                <w:sz w:val="24"/>
                <w:szCs w:val="24"/>
              </w:rPr>
              <w:t>见图4-1</w:t>
            </w:r>
          </w:p>
          <w:p>
            <w:pPr>
              <w:pStyle w:val="18"/>
              <w:jc w:val="center"/>
              <w:rPr>
                <w:sz w:val="20"/>
              </w:rPr>
            </w:pPr>
            <w:r>
              <w:rPr>
                <w:sz w:val="20"/>
              </w:rPr>
              <w:drawing>
                <wp:inline distT="0" distB="0" distL="0" distR="0">
                  <wp:extent cx="3606165" cy="4635500"/>
                  <wp:effectExtent l="0" t="0" r="0" b="0"/>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611959" cy="4642195"/>
                          </a:xfrm>
                          <a:prstGeom prst="rect">
                            <a:avLst/>
                          </a:prstGeom>
                          <a:noFill/>
                          <a:ln>
                            <a:noFill/>
                          </a:ln>
                        </pic:spPr>
                      </pic:pic>
                    </a:graphicData>
                  </a:graphic>
                </wp:inline>
              </w:drawing>
            </w:r>
          </w:p>
          <w:p>
            <w:pPr>
              <w:pStyle w:val="18"/>
              <w:ind w:left="1827"/>
              <w:rPr>
                <w:b/>
                <w:sz w:val="24"/>
              </w:rPr>
            </w:pPr>
            <w:r>
              <w:rPr>
                <w:rFonts w:hint="eastAsia"/>
                <w:b/>
                <w:sz w:val="24"/>
              </w:rPr>
              <w:t xml:space="preserve">图4-1 </w:t>
            </w:r>
            <w:r>
              <w:rPr>
                <w:rFonts w:eastAsia="Times New Roman"/>
                <w:b/>
                <w:sz w:val="24"/>
              </w:rPr>
              <w:tab/>
            </w:r>
            <w:r>
              <w:rPr>
                <w:b/>
                <w:sz w:val="24"/>
              </w:rPr>
              <w:t>医疗废水处理站工艺流程图</w:t>
            </w:r>
          </w:p>
          <w:p>
            <w:pPr>
              <w:pStyle w:val="18"/>
              <w:rPr>
                <w:sz w:val="24"/>
              </w:rPr>
            </w:pPr>
          </w:p>
          <w:p>
            <w:pPr>
              <w:pStyle w:val="18"/>
              <w:spacing w:before="3" w:line="360" w:lineRule="auto"/>
              <w:ind w:firstLine="480" w:firstLineChars="200"/>
              <w:rPr>
                <w:sz w:val="24"/>
                <w:szCs w:val="24"/>
              </w:rPr>
            </w:pPr>
            <w:r>
              <w:rPr>
                <w:sz w:val="24"/>
                <w:szCs w:val="24"/>
              </w:rPr>
              <w:t xml:space="preserve">一年按 </w:t>
            </w:r>
            <w:r>
              <w:rPr>
                <w:rFonts w:eastAsia="Times New Roman"/>
                <w:sz w:val="24"/>
                <w:szCs w:val="24"/>
              </w:rPr>
              <w:t xml:space="preserve">365 </w:t>
            </w:r>
            <w:r>
              <w:rPr>
                <w:sz w:val="24"/>
                <w:szCs w:val="24"/>
              </w:rPr>
              <w:t xml:space="preserve">天计算，根据表 </w:t>
            </w:r>
            <w:r>
              <w:rPr>
                <w:rFonts w:hint="eastAsia"/>
                <w:sz w:val="24"/>
                <w:szCs w:val="24"/>
              </w:rPr>
              <w:t>4-</w:t>
            </w:r>
            <w:r>
              <w:rPr>
                <w:sz w:val="24"/>
                <w:szCs w:val="24"/>
              </w:rPr>
              <w:t xml:space="preserve">4浓度数据及项目医疗废水排水量可计算污水处理站中 </w:t>
            </w:r>
            <w:r>
              <w:rPr>
                <w:rFonts w:eastAsia="Times New Roman"/>
                <w:sz w:val="24"/>
                <w:szCs w:val="24"/>
              </w:rPr>
              <w:t>COD</w:t>
            </w:r>
            <w:r>
              <w:rPr>
                <w:sz w:val="24"/>
                <w:szCs w:val="24"/>
              </w:rPr>
              <w:t>、</w:t>
            </w:r>
            <w:r>
              <w:rPr>
                <w:rFonts w:eastAsia="Times New Roman"/>
                <w:sz w:val="24"/>
                <w:szCs w:val="24"/>
              </w:rPr>
              <w:t>BOD</w:t>
            </w:r>
            <w:r>
              <w:rPr>
                <w:rFonts w:eastAsia="Times New Roman"/>
                <w:sz w:val="24"/>
                <w:szCs w:val="24"/>
                <w:vertAlign w:val="subscript"/>
              </w:rPr>
              <w:t>5</w:t>
            </w:r>
            <w:r>
              <w:rPr>
                <w:rFonts w:eastAsia="Times New Roman"/>
                <w:sz w:val="24"/>
                <w:szCs w:val="24"/>
              </w:rPr>
              <w:t xml:space="preserve"> </w:t>
            </w:r>
            <w:r>
              <w:rPr>
                <w:sz w:val="24"/>
                <w:szCs w:val="24"/>
              </w:rPr>
              <w:t xml:space="preserve">和 </w:t>
            </w:r>
            <w:r>
              <w:rPr>
                <w:rFonts w:eastAsia="Times New Roman"/>
                <w:sz w:val="24"/>
                <w:szCs w:val="24"/>
              </w:rPr>
              <w:t xml:space="preserve">SS </w:t>
            </w:r>
            <w:r>
              <w:rPr>
                <w:sz w:val="24"/>
                <w:szCs w:val="24"/>
              </w:rPr>
              <w:t xml:space="preserve">排放负荷，见表 </w:t>
            </w:r>
            <w:r>
              <w:rPr>
                <w:rFonts w:hint="eastAsia"/>
                <w:sz w:val="24"/>
                <w:szCs w:val="24"/>
              </w:rPr>
              <w:t>4-</w:t>
            </w:r>
            <w:r>
              <w:rPr>
                <w:sz w:val="24"/>
                <w:szCs w:val="24"/>
              </w:rPr>
              <w:t>5。</w:t>
            </w:r>
          </w:p>
          <w:p>
            <w:pPr>
              <w:pStyle w:val="6"/>
              <w:tabs>
                <w:tab w:val="left" w:pos="3252"/>
              </w:tabs>
              <w:spacing w:before="160" w:line="360" w:lineRule="auto"/>
              <w:jc w:val="center"/>
              <w:rPr>
                <w:rFonts w:ascii="Times New Roman" w:hAnsi="Times New Roman" w:cs="Times New Roman"/>
              </w:rPr>
            </w:pPr>
            <w:r>
              <w:rPr>
                <w:rFonts w:ascii="Times New Roman" w:hAnsi="Times New Roman" w:cs="Times New Roman"/>
              </w:rPr>
              <w:t xml:space="preserve">表4-5 </w:t>
            </w:r>
            <w:r>
              <w:rPr>
                <w:rFonts w:hint="eastAsia" w:ascii="Times New Roman" w:hAnsi="Times New Roman" w:cs="Times New Roman"/>
              </w:rPr>
              <w:t>扩建项目</w:t>
            </w:r>
            <w:r>
              <w:rPr>
                <w:rFonts w:ascii="Times New Roman" w:hAnsi="Times New Roman" w:cs="Times New Roman"/>
              </w:rPr>
              <w:t>水污染排放负荷一览表</w:t>
            </w:r>
          </w:p>
          <w:tbl>
            <w:tblPr>
              <w:tblStyle w:val="27"/>
              <w:tblW w:w="8578" w:type="dxa"/>
              <w:jc w:val="center"/>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Layout w:type="autofit"/>
              <w:tblCellMar>
                <w:top w:w="0" w:type="dxa"/>
                <w:left w:w="0" w:type="dxa"/>
                <w:bottom w:w="0" w:type="dxa"/>
                <w:right w:w="0" w:type="dxa"/>
              </w:tblCellMar>
            </w:tblPr>
            <w:tblGrid>
              <w:gridCol w:w="1690"/>
              <w:gridCol w:w="2099"/>
              <w:gridCol w:w="2274"/>
              <w:gridCol w:w="2515"/>
            </w:tblGrid>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673" w:hRule="atLeast"/>
                <w:jc w:val="center"/>
              </w:trPr>
              <w:tc>
                <w:tcPr>
                  <w:tcW w:w="1690" w:type="dxa"/>
                  <w:tcBorders>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项目</w:t>
                  </w:r>
                </w:p>
              </w:tc>
              <w:tc>
                <w:tcPr>
                  <w:tcW w:w="2099"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COD</w:t>
                  </w:r>
                </w:p>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(g/床位·d)</w:t>
                  </w:r>
                </w:p>
              </w:tc>
              <w:tc>
                <w:tcPr>
                  <w:tcW w:w="2274"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position w:val="2"/>
                      <w:sz w:val="24"/>
                      <w:szCs w:val="24"/>
                      <w:lang w:eastAsia="zh-CN"/>
                    </w:rPr>
                    <w:t>BOD</w:t>
                  </w:r>
                  <w:r>
                    <w:rPr>
                      <w:rFonts w:ascii="Times New Roman" w:hAnsi="Times New Roman" w:eastAsia="宋体" w:cs="Times New Roman"/>
                      <w:position w:val="2"/>
                      <w:sz w:val="24"/>
                      <w:szCs w:val="24"/>
                      <w:vertAlign w:val="subscript"/>
                      <w:lang w:eastAsia="zh-CN"/>
                    </w:rPr>
                    <w:t>5</w:t>
                  </w:r>
                </w:p>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(g/床位·d)</w:t>
                  </w:r>
                </w:p>
              </w:tc>
              <w:tc>
                <w:tcPr>
                  <w:tcW w:w="2515" w:type="dxa"/>
                  <w:tcBorders>
                    <w:left w:val="single" w:color="000000" w:sz="6" w:space="0"/>
                    <w:bottom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SS</w:t>
                  </w:r>
                </w:p>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(g/床位·d)</w:t>
                  </w:r>
                </w:p>
              </w:tc>
            </w:tr>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1690" w:type="dxa"/>
                  <w:tcBorders>
                    <w:top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医疗废水处理站出口</w:t>
                  </w:r>
                </w:p>
              </w:tc>
              <w:tc>
                <w:tcPr>
                  <w:tcW w:w="2099"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24.3</w:t>
                  </w:r>
                </w:p>
              </w:tc>
              <w:tc>
                <w:tcPr>
                  <w:tcW w:w="2274"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6.4</w:t>
                  </w:r>
                </w:p>
              </w:tc>
              <w:tc>
                <w:tcPr>
                  <w:tcW w:w="2515" w:type="dxa"/>
                  <w:tcBorders>
                    <w:top w:val="single" w:color="000000" w:sz="6" w:space="0"/>
                    <w:left w:val="single" w:color="000000" w:sz="6" w:space="0"/>
                    <w:bottom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10.2</w:t>
                  </w:r>
                </w:p>
              </w:tc>
            </w:tr>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438" w:hRule="atLeast"/>
                <w:jc w:val="center"/>
              </w:trPr>
              <w:tc>
                <w:tcPr>
                  <w:tcW w:w="1690" w:type="dxa"/>
                  <w:tcBorders>
                    <w:top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标准</w:t>
                  </w:r>
                </w:p>
              </w:tc>
              <w:tc>
                <w:tcPr>
                  <w:tcW w:w="2099" w:type="dxa"/>
                  <w:tcBorders>
                    <w:top w:val="single" w:color="000000" w:sz="6" w:space="0"/>
                    <w:left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60</w:t>
                  </w:r>
                </w:p>
              </w:tc>
              <w:tc>
                <w:tcPr>
                  <w:tcW w:w="2274" w:type="dxa"/>
                  <w:tcBorders>
                    <w:top w:val="single" w:color="000000" w:sz="6" w:space="0"/>
                    <w:left w:val="single" w:color="000000" w:sz="6" w:space="0"/>
                    <w:righ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20</w:t>
                  </w:r>
                </w:p>
              </w:tc>
              <w:tc>
                <w:tcPr>
                  <w:tcW w:w="2515" w:type="dxa"/>
                  <w:tcBorders>
                    <w:top w:val="single" w:color="000000" w:sz="6" w:space="0"/>
                    <w:left w:val="single" w:color="000000" w:sz="6" w:space="0"/>
                  </w:tcBorders>
                  <w:vAlign w:val="center"/>
                </w:tcPr>
                <w:p>
                  <w:pPr>
                    <w:pStyle w:val="63"/>
                    <w:spacing w:line="240" w:lineRule="auto"/>
                    <w:ind w:left="0"/>
                    <w:rPr>
                      <w:rFonts w:ascii="Times New Roman" w:hAnsi="Times New Roman" w:eastAsia="宋体" w:cs="Times New Roman"/>
                      <w:sz w:val="24"/>
                      <w:szCs w:val="24"/>
                      <w:lang w:eastAsia="zh-CN"/>
                    </w:rPr>
                  </w:pPr>
                  <w:r>
                    <w:rPr>
                      <w:rFonts w:ascii="Times New Roman" w:hAnsi="Times New Roman" w:eastAsia="宋体" w:cs="Times New Roman"/>
                      <w:sz w:val="24"/>
                      <w:szCs w:val="24"/>
                      <w:lang w:eastAsia="zh-CN"/>
                    </w:rPr>
                    <w:t>20</w:t>
                  </w:r>
                </w:p>
              </w:tc>
            </w:tr>
          </w:tbl>
          <w:p>
            <w:pPr>
              <w:pStyle w:val="43"/>
              <w:jc w:val="both"/>
            </w:pPr>
          </w:p>
          <w:p>
            <w:pPr>
              <w:spacing w:line="360" w:lineRule="auto"/>
              <w:ind w:firstLine="460" w:firstLineChars="200"/>
              <w:rPr>
                <w:b/>
                <w:bCs/>
                <w:color w:val="000000"/>
                <w:sz w:val="24"/>
              </w:rPr>
            </w:pPr>
            <w:r>
              <w:rPr>
                <w:spacing w:val="-5"/>
                <w:position w:val="2"/>
                <w:sz w:val="24"/>
                <w:szCs w:val="24"/>
              </w:rPr>
              <w:t>根据计算结果，</w:t>
            </w:r>
            <w:r>
              <w:rPr>
                <w:rFonts w:hint="eastAsia"/>
                <w:spacing w:val="-5"/>
                <w:position w:val="2"/>
                <w:sz w:val="24"/>
                <w:szCs w:val="24"/>
              </w:rPr>
              <w:t>本扩建项目新增水污染物</w:t>
            </w:r>
            <w:r>
              <w:rPr>
                <w:spacing w:val="-5"/>
                <w:position w:val="2"/>
                <w:sz w:val="24"/>
                <w:szCs w:val="24"/>
              </w:rPr>
              <w:t xml:space="preserve"> </w:t>
            </w:r>
            <w:r>
              <w:rPr>
                <w:rFonts w:eastAsia="Times New Roman"/>
                <w:position w:val="2"/>
                <w:sz w:val="24"/>
                <w:szCs w:val="24"/>
              </w:rPr>
              <w:t>COD</w:t>
            </w:r>
            <w:r>
              <w:rPr>
                <w:position w:val="2"/>
                <w:sz w:val="24"/>
                <w:szCs w:val="24"/>
              </w:rPr>
              <w:t>、</w:t>
            </w:r>
            <w:r>
              <w:rPr>
                <w:rFonts w:eastAsia="Times New Roman"/>
                <w:position w:val="2"/>
                <w:sz w:val="24"/>
                <w:szCs w:val="24"/>
              </w:rPr>
              <w:t>BOD</w:t>
            </w:r>
            <w:r>
              <w:rPr>
                <w:rFonts w:eastAsia="Times New Roman"/>
                <w:position w:val="2"/>
                <w:sz w:val="24"/>
                <w:szCs w:val="24"/>
                <w:vertAlign w:val="subscript"/>
              </w:rPr>
              <w:t>5</w:t>
            </w:r>
            <w:r>
              <w:rPr>
                <w:rFonts w:eastAsia="Times New Roman"/>
                <w:position w:val="2"/>
                <w:sz w:val="24"/>
                <w:szCs w:val="24"/>
              </w:rPr>
              <w:t xml:space="preserve"> </w:t>
            </w:r>
            <w:r>
              <w:rPr>
                <w:spacing w:val="-29"/>
                <w:position w:val="2"/>
                <w:sz w:val="24"/>
                <w:szCs w:val="24"/>
              </w:rPr>
              <w:t xml:space="preserve">和 </w:t>
            </w:r>
            <w:r>
              <w:rPr>
                <w:rFonts w:eastAsia="Times New Roman"/>
                <w:position w:val="2"/>
                <w:sz w:val="24"/>
                <w:szCs w:val="24"/>
              </w:rPr>
              <w:t xml:space="preserve">SS </w:t>
            </w:r>
            <w:r>
              <w:rPr>
                <w:position w:val="2"/>
                <w:sz w:val="24"/>
                <w:szCs w:val="24"/>
              </w:rPr>
              <w:t>排放负荷均可以满足《医疗机构</w:t>
            </w:r>
            <w:r>
              <w:rPr>
                <w:sz w:val="24"/>
                <w:szCs w:val="24"/>
              </w:rPr>
              <w:t>水污染物排放标准》</w:t>
            </w:r>
            <w:r>
              <w:rPr>
                <w:rFonts w:hint="eastAsia"/>
                <w:sz w:val="24"/>
                <w:szCs w:val="24"/>
              </w:rPr>
              <w:t>（</w:t>
            </w:r>
            <w:r>
              <w:rPr>
                <w:rFonts w:eastAsia="Times New Roman"/>
                <w:sz w:val="24"/>
                <w:szCs w:val="24"/>
              </w:rPr>
              <w:t>GB18466-2005</w:t>
            </w:r>
            <w:r>
              <w:rPr>
                <w:rFonts w:hint="eastAsia"/>
                <w:sz w:val="24"/>
                <w:szCs w:val="24"/>
              </w:rPr>
              <w:t>）</w:t>
            </w:r>
            <w:r>
              <w:rPr>
                <w:sz w:val="24"/>
                <w:szCs w:val="24"/>
              </w:rPr>
              <w:t>最高允许排放负荷要求。</w:t>
            </w:r>
          </w:p>
          <w:p>
            <w:pPr>
              <w:numPr>
                <w:ilvl w:val="0"/>
                <w:numId w:val="9"/>
              </w:numPr>
              <w:spacing w:line="360" w:lineRule="auto"/>
              <w:ind w:firstLine="482" w:firstLineChars="200"/>
              <w:rPr>
                <w:b/>
                <w:bCs/>
                <w:color w:val="000000"/>
                <w:sz w:val="24"/>
              </w:rPr>
            </w:pPr>
            <w:r>
              <w:rPr>
                <w:b/>
                <w:bCs/>
                <w:color w:val="000000"/>
                <w:sz w:val="24"/>
              </w:rPr>
              <w:t>噪声</w:t>
            </w:r>
          </w:p>
          <w:p>
            <w:pPr>
              <w:spacing w:line="360" w:lineRule="auto"/>
              <w:ind w:firstLine="456" w:firstLineChars="200"/>
              <w:rPr>
                <w:spacing w:val="-9"/>
                <w:sz w:val="24"/>
                <w:szCs w:val="24"/>
              </w:rPr>
            </w:pPr>
            <w:r>
              <w:rPr>
                <w:spacing w:val="-6"/>
                <w:sz w:val="24"/>
                <w:szCs w:val="24"/>
              </w:rPr>
              <w:t>扩建项目运营过程噪声主要来自水泵、风机等配套设备噪声</w:t>
            </w:r>
            <w:r>
              <w:rPr>
                <w:spacing w:val="-9"/>
                <w:sz w:val="24"/>
                <w:szCs w:val="24"/>
              </w:rPr>
              <w:t xml:space="preserve">，各噪声源的排放特征及拟采取的降噪措施见表 </w:t>
            </w:r>
            <w:r>
              <w:rPr>
                <w:rFonts w:hint="eastAsia"/>
                <w:spacing w:val="-9"/>
                <w:sz w:val="24"/>
                <w:szCs w:val="24"/>
              </w:rPr>
              <w:t>4-</w:t>
            </w:r>
            <w:r>
              <w:rPr>
                <w:spacing w:val="-9"/>
                <w:sz w:val="24"/>
                <w:szCs w:val="24"/>
              </w:rPr>
              <w:t>6</w:t>
            </w:r>
            <w:r>
              <w:rPr>
                <w:rFonts w:hint="eastAsia"/>
                <w:spacing w:val="-9"/>
                <w:sz w:val="24"/>
                <w:szCs w:val="24"/>
              </w:rPr>
              <w:t>。</w:t>
            </w:r>
          </w:p>
          <w:p>
            <w:pPr>
              <w:spacing w:line="360" w:lineRule="auto"/>
              <w:jc w:val="center"/>
              <w:rPr>
                <w:b/>
                <w:sz w:val="12"/>
              </w:rPr>
            </w:pPr>
            <w:r>
              <w:rPr>
                <w:b/>
                <w:bCs/>
                <w:sz w:val="24"/>
                <w:szCs w:val="24"/>
              </w:rPr>
              <w:t>表4-6主要噪声源排放特征及降噪措施</w:t>
            </w:r>
          </w:p>
          <w:tbl>
            <w:tblPr>
              <w:tblStyle w:val="27"/>
              <w:tblW w:w="8589" w:type="dxa"/>
              <w:jc w:val="center"/>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Layout w:type="autofit"/>
              <w:tblCellMar>
                <w:top w:w="0" w:type="dxa"/>
                <w:left w:w="0" w:type="dxa"/>
                <w:bottom w:w="0" w:type="dxa"/>
                <w:right w:w="0" w:type="dxa"/>
              </w:tblCellMar>
            </w:tblPr>
            <w:tblGrid>
              <w:gridCol w:w="1115"/>
              <w:gridCol w:w="1325"/>
              <w:gridCol w:w="1159"/>
              <w:gridCol w:w="1656"/>
              <w:gridCol w:w="1588"/>
              <w:gridCol w:w="1746"/>
            </w:tblGrid>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414" w:hRule="atLeast"/>
                <w:jc w:val="center"/>
              </w:trPr>
              <w:tc>
                <w:tcPr>
                  <w:tcW w:w="1115" w:type="dxa"/>
                  <w:tcBorders>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序号</w:t>
                  </w:r>
                </w:p>
              </w:tc>
              <w:tc>
                <w:tcPr>
                  <w:tcW w:w="1325"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噪声源名称</w:t>
                  </w:r>
                </w:p>
              </w:tc>
              <w:tc>
                <w:tcPr>
                  <w:tcW w:w="1159"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所处位置</w:t>
                  </w:r>
                </w:p>
              </w:tc>
              <w:tc>
                <w:tcPr>
                  <w:tcW w:w="1656"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噪声值[dB(A)]</w:t>
                  </w:r>
                </w:p>
              </w:tc>
              <w:tc>
                <w:tcPr>
                  <w:tcW w:w="1588" w:type="dxa"/>
                  <w:tcBorders>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降噪措施</w:t>
                  </w:r>
                </w:p>
              </w:tc>
              <w:tc>
                <w:tcPr>
                  <w:tcW w:w="1746" w:type="dxa"/>
                  <w:tcBorders>
                    <w:left w:val="single" w:color="000000" w:sz="6" w:space="0"/>
                    <w:bottom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噪声消减量[dB(A)]</w:t>
                  </w:r>
                </w:p>
              </w:tc>
            </w:tr>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399" w:hRule="atLeast"/>
                <w:jc w:val="center"/>
              </w:trPr>
              <w:tc>
                <w:tcPr>
                  <w:tcW w:w="1115" w:type="dxa"/>
                  <w:tcBorders>
                    <w:top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w w:val="99"/>
                      <w:lang w:eastAsia="zh-CN"/>
                    </w:rPr>
                    <w:t>1</w:t>
                  </w:r>
                </w:p>
              </w:tc>
              <w:tc>
                <w:tcPr>
                  <w:tcW w:w="1325"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水泵</w:t>
                  </w:r>
                </w:p>
              </w:tc>
              <w:tc>
                <w:tcPr>
                  <w:tcW w:w="1159"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hint="eastAsia" w:ascii="Times New Roman" w:hAnsi="Times New Roman" w:eastAsia="宋体" w:cs="Times New Roman"/>
                      <w:lang w:eastAsia="zh-CN"/>
                    </w:rPr>
                    <w:t>水泵房</w:t>
                  </w:r>
                </w:p>
              </w:tc>
              <w:tc>
                <w:tcPr>
                  <w:tcW w:w="1656"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76～82</w:t>
                  </w:r>
                </w:p>
              </w:tc>
              <w:tc>
                <w:tcPr>
                  <w:tcW w:w="1588"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hint="eastAsia" w:ascii="Times New Roman" w:hAnsi="Times New Roman" w:eastAsia="宋体" w:cs="Times New Roman"/>
                      <w:color w:val="000000"/>
                      <w:lang w:eastAsia="zh-CN"/>
                    </w:rPr>
                    <w:t>选用低噪声设备、</w:t>
                  </w:r>
                  <w:r>
                    <w:rPr>
                      <w:rFonts w:ascii="Times New Roman" w:hAnsi="Times New Roman" w:eastAsia="宋体" w:cs="Times New Roman"/>
                      <w:lang w:eastAsia="zh-CN"/>
                    </w:rPr>
                    <w:t>减振</w:t>
                  </w:r>
                  <w:r>
                    <w:rPr>
                      <w:rFonts w:hint="eastAsia" w:ascii="Times New Roman" w:hAnsi="Times New Roman" w:eastAsia="宋体" w:cs="Times New Roman"/>
                      <w:lang w:eastAsia="zh-CN"/>
                    </w:rPr>
                    <w:t>、</w:t>
                  </w:r>
                  <w:r>
                    <w:rPr>
                      <w:rFonts w:ascii="Times New Roman" w:hAnsi="Times New Roman" w:eastAsia="宋体" w:cs="Times New Roman"/>
                      <w:lang w:eastAsia="zh-CN"/>
                    </w:rPr>
                    <w:t>隔声</w:t>
                  </w:r>
                </w:p>
              </w:tc>
              <w:tc>
                <w:tcPr>
                  <w:tcW w:w="1746" w:type="dxa"/>
                  <w:tcBorders>
                    <w:top w:val="single" w:color="000000" w:sz="6" w:space="0"/>
                    <w:left w:val="single" w:color="000000" w:sz="6" w:space="0"/>
                    <w:bottom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20～25</w:t>
                  </w:r>
                </w:p>
              </w:tc>
            </w:tr>
            <w:tr>
              <w:tblPrEx>
                <w:tblBorders>
                  <w:top w:val="single" w:color="000000" w:sz="4" w:space="0"/>
                  <w:left w:val="single" w:color="000000" w:sz="4" w:space="0"/>
                  <w:bottom w:val="single" w:color="000000" w:sz="4" w:space="0"/>
                  <w:right w:val="single" w:color="000000" w:sz="4" w:space="0"/>
                  <w:insideH w:val="single" w:color="000000" w:sz="12" w:space="0"/>
                  <w:insideV w:val="single" w:color="000000" w:sz="12" w:space="0"/>
                </w:tblBorders>
                <w:tblCellMar>
                  <w:top w:w="0" w:type="dxa"/>
                  <w:left w:w="0" w:type="dxa"/>
                  <w:bottom w:w="0" w:type="dxa"/>
                  <w:right w:w="0" w:type="dxa"/>
                </w:tblCellMar>
              </w:tblPrEx>
              <w:trPr>
                <w:trHeight w:val="398" w:hRule="atLeast"/>
                <w:jc w:val="center"/>
              </w:trPr>
              <w:tc>
                <w:tcPr>
                  <w:tcW w:w="1115" w:type="dxa"/>
                  <w:tcBorders>
                    <w:top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w w:val="99"/>
                      <w:lang w:eastAsia="zh-CN"/>
                    </w:rPr>
                    <w:t>2</w:t>
                  </w:r>
                </w:p>
              </w:tc>
              <w:tc>
                <w:tcPr>
                  <w:tcW w:w="1325"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风机</w:t>
                  </w:r>
                </w:p>
              </w:tc>
              <w:tc>
                <w:tcPr>
                  <w:tcW w:w="1159"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hint="eastAsia" w:ascii="Times New Roman" w:hAnsi="Times New Roman" w:eastAsia="宋体" w:cs="Times New Roman"/>
                      <w:lang w:eastAsia="zh-CN"/>
                    </w:rPr>
                    <w:t>地下设备房</w:t>
                  </w:r>
                </w:p>
              </w:tc>
              <w:tc>
                <w:tcPr>
                  <w:tcW w:w="1656"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85～90</w:t>
                  </w:r>
                </w:p>
              </w:tc>
              <w:tc>
                <w:tcPr>
                  <w:tcW w:w="1588" w:type="dxa"/>
                  <w:tcBorders>
                    <w:top w:val="single" w:color="000000" w:sz="6" w:space="0"/>
                    <w:left w:val="single" w:color="000000" w:sz="6" w:space="0"/>
                    <w:bottom w:val="single" w:color="000000" w:sz="6" w:space="0"/>
                    <w:right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hint="eastAsia" w:ascii="Times New Roman" w:hAnsi="Times New Roman" w:eastAsia="宋体" w:cs="Times New Roman"/>
                      <w:color w:val="000000"/>
                      <w:lang w:eastAsia="zh-CN"/>
                    </w:rPr>
                    <w:t>选用低噪声设备、</w:t>
                  </w:r>
                  <w:r>
                    <w:rPr>
                      <w:rFonts w:hint="eastAsia" w:ascii="Times New Roman" w:hAnsi="Times New Roman" w:eastAsia="宋体" w:cs="Times New Roman"/>
                      <w:lang w:eastAsia="zh-CN"/>
                    </w:rPr>
                    <w:t>减振、隔声</w:t>
                  </w:r>
                </w:p>
              </w:tc>
              <w:tc>
                <w:tcPr>
                  <w:tcW w:w="1746" w:type="dxa"/>
                  <w:tcBorders>
                    <w:top w:val="single" w:color="000000" w:sz="6" w:space="0"/>
                    <w:left w:val="single" w:color="000000" w:sz="6" w:space="0"/>
                    <w:bottom w:val="single" w:color="000000" w:sz="6" w:space="0"/>
                  </w:tcBorders>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20～25</w:t>
                  </w:r>
                </w:p>
              </w:tc>
            </w:tr>
          </w:tbl>
          <w:p>
            <w:pPr>
              <w:snapToGrid w:val="0"/>
              <w:spacing w:before="240" w:line="360" w:lineRule="auto"/>
              <w:ind w:firstLine="480" w:firstLineChars="200"/>
              <w:jc w:val="left"/>
              <w:rPr>
                <w:sz w:val="24"/>
                <w:szCs w:val="24"/>
              </w:rPr>
            </w:pPr>
            <w:r>
              <w:rPr>
                <w:rFonts w:hint="eastAsia"/>
                <w:sz w:val="24"/>
                <w:szCs w:val="24"/>
              </w:rPr>
              <w:t>扩建项目主要设备噪声采取减振、隔声处理后，在经大气吸收、距离衰减后厂界噪声</w:t>
            </w:r>
            <w:r>
              <w:rPr>
                <w:sz w:val="24"/>
                <w:szCs w:val="24"/>
              </w:rPr>
              <w:t>能够满足</w:t>
            </w:r>
            <w:r>
              <w:rPr>
                <w:color w:val="000000"/>
                <w:sz w:val="24"/>
                <w:szCs w:val="24"/>
              </w:rPr>
              <w:t>《工业企业厂界环境噪声排放标准》(GB12348-2008)中的2类标准</w:t>
            </w:r>
            <w:r>
              <w:rPr>
                <w:sz w:val="24"/>
                <w:szCs w:val="24"/>
              </w:rPr>
              <w:t>（即昼间≤60dB(A)、夜间≤50dB(A)</w:t>
            </w:r>
            <w:r>
              <w:rPr>
                <w:rFonts w:hint="eastAsia"/>
                <w:sz w:val="24"/>
                <w:szCs w:val="24"/>
              </w:rPr>
              <w:t>）</w:t>
            </w:r>
            <w:r>
              <w:rPr>
                <w:sz w:val="24"/>
                <w:szCs w:val="24"/>
              </w:rPr>
              <w:t>。</w:t>
            </w:r>
          </w:p>
          <w:p>
            <w:pPr>
              <w:numPr>
                <w:ilvl w:val="0"/>
                <w:numId w:val="10"/>
              </w:numPr>
              <w:spacing w:line="360" w:lineRule="auto"/>
              <w:ind w:firstLine="482" w:firstLineChars="200"/>
              <w:rPr>
                <w:sz w:val="24"/>
                <w:szCs w:val="24"/>
              </w:rPr>
            </w:pPr>
            <w:r>
              <w:rPr>
                <w:b/>
                <w:bCs/>
                <w:color w:val="000000"/>
                <w:sz w:val="24"/>
                <w:szCs w:val="24"/>
              </w:rPr>
              <w:t>固体废物</w:t>
            </w:r>
          </w:p>
          <w:p>
            <w:pPr>
              <w:pStyle w:val="79"/>
              <w:ind w:firstLine="482"/>
              <w:rPr>
                <w:b/>
                <w:bCs/>
                <w:color w:val="000000"/>
                <w:sz w:val="24"/>
                <w:szCs w:val="24"/>
              </w:rPr>
            </w:pPr>
            <w:r>
              <w:rPr>
                <w:b/>
                <w:bCs/>
                <w:color w:val="000000"/>
                <w:sz w:val="24"/>
                <w:szCs w:val="24"/>
              </w:rPr>
              <w:t>（1）医疗废物</w:t>
            </w:r>
          </w:p>
          <w:p>
            <w:pPr>
              <w:pStyle w:val="79"/>
              <w:ind w:firstLine="480"/>
              <w:rPr>
                <w:color w:val="000000"/>
                <w:sz w:val="24"/>
                <w:szCs w:val="24"/>
              </w:rPr>
            </w:pPr>
            <w:r>
              <w:rPr>
                <w:color w:val="000000"/>
                <w:sz w:val="24"/>
                <w:szCs w:val="24"/>
              </w:rPr>
              <w:t>根据《国家危险废物名录》（20</w:t>
            </w:r>
            <w:r>
              <w:rPr>
                <w:rFonts w:hint="eastAsia"/>
                <w:color w:val="000000"/>
                <w:sz w:val="24"/>
                <w:szCs w:val="24"/>
              </w:rPr>
              <w:t>21</w:t>
            </w:r>
            <w:r>
              <w:rPr>
                <w:color w:val="000000"/>
                <w:sz w:val="24"/>
                <w:szCs w:val="24"/>
              </w:rPr>
              <w:t>），医院临床废物种类属危险废物，编号为HW01。废物主要包括感染性废物、病理性废物、损伤性废物、药物性废物（过期、淘汰、变质或者被污染的废弃的药品）、化学性废物以及其它危险废物。医疗废物主要包括废弃的一次性卫生用品、医疗用品和医疗器械；废弃的夹板、口罩、手套、安瓿瓶、试剂瓶及病人产生和的废弃物。</w:t>
            </w:r>
          </w:p>
          <w:p>
            <w:pPr>
              <w:pStyle w:val="79"/>
              <w:ind w:firstLine="480"/>
              <w:rPr>
                <w:color w:val="000000"/>
                <w:sz w:val="24"/>
                <w:szCs w:val="24"/>
              </w:rPr>
            </w:pPr>
            <w:r>
              <w:rPr>
                <w:color w:val="000000"/>
                <w:sz w:val="24"/>
                <w:szCs w:val="24"/>
              </w:rPr>
              <w:t>医疗废物产生量按0.1kg/d</w:t>
            </w:r>
            <w:r>
              <w:rPr>
                <w:rFonts w:hint="eastAsia" w:ascii="宋体" w:hAnsi="宋体"/>
                <w:color w:val="000000"/>
                <w:sz w:val="24"/>
                <w:szCs w:val="24"/>
              </w:rPr>
              <w:t>•</w:t>
            </w:r>
            <w:r>
              <w:rPr>
                <w:color w:val="000000"/>
                <w:sz w:val="24"/>
                <w:szCs w:val="24"/>
              </w:rPr>
              <w:t>人计算</w:t>
            </w:r>
            <w:r>
              <w:rPr>
                <w:rFonts w:hint="eastAsia"/>
                <w:color w:val="000000"/>
                <w:sz w:val="24"/>
                <w:szCs w:val="24"/>
              </w:rPr>
              <w:t>，扩建项目</w:t>
            </w:r>
            <w:r>
              <w:rPr>
                <w:color w:val="000000"/>
                <w:sz w:val="24"/>
                <w:szCs w:val="24"/>
              </w:rPr>
              <w:t>新增医疗废物产生量3.2t/a。</w:t>
            </w:r>
          </w:p>
          <w:p>
            <w:pPr>
              <w:pStyle w:val="79"/>
              <w:ind w:firstLine="480"/>
              <w:rPr>
                <w:color w:val="000000"/>
                <w:sz w:val="24"/>
                <w:szCs w:val="24"/>
              </w:rPr>
            </w:pPr>
            <w:r>
              <w:rPr>
                <w:color w:val="000000"/>
                <w:sz w:val="24"/>
                <w:szCs w:val="24"/>
              </w:rPr>
              <w:t>医疗</w:t>
            </w:r>
            <w:r>
              <w:rPr>
                <w:rFonts w:hint="eastAsia"/>
                <w:color w:val="000000"/>
                <w:sz w:val="24"/>
                <w:szCs w:val="24"/>
              </w:rPr>
              <w:t>废物</w:t>
            </w:r>
            <w:r>
              <w:rPr>
                <w:color w:val="000000"/>
                <w:sz w:val="24"/>
                <w:szCs w:val="24"/>
              </w:rPr>
              <w:t>用黄绿黑等三种塑料袋分类收集并暂时贮存于项目一层医疗固废存放间，由塑料大筒盛装已用塑料袋分类收集好的医疗废物，运送人员每天按照规定的时间和运输路线将扩建项目产生的污物从院区指定的污物出口运出，每天转运一次，交由医疗废物处置公司作无害化处置。</w:t>
            </w:r>
          </w:p>
          <w:p>
            <w:pPr>
              <w:pStyle w:val="79"/>
              <w:ind w:firstLine="482"/>
              <w:rPr>
                <w:b/>
                <w:bCs/>
                <w:sz w:val="24"/>
                <w:szCs w:val="24"/>
              </w:rPr>
            </w:pPr>
            <w:r>
              <w:rPr>
                <w:rFonts w:hint="eastAsia"/>
                <w:b/>
                <w:bCs/>
                <w:sz w:val="24"/>
                <w:szCs w:val="24"/>
              </w:rPr>
              <w:t>（</w:t>
            </w:r>
            <w:r>
              <w:rPr>
                <w:b/>
                <w:bCs/>
                <w:sz w:val="24"/>
                <w:szCs w:val="24"/>
              </w:rPr>
              <w:t>2</w:t>
            </w:r>
            <w:r>
              <w:rPr>
                <w:rFonts w:hint="eastAsia"/>
                <w:b/>
                <w:bCs/>
                <w:sz w:val="24"/>
                <w:szCs w:val="24"/>
              </w:rPr>
              <w:t>）</w:t>
            </w:r>
            <w:r>
              <w:rPr>
                <w:b/>
                <w:bCs/>
                <w:sz w:val="24"/>
                <w:szCs w:val="24"/>
              </w:rPr>
              <w:t xml:space="preserve"> 污水处理设施污泥</w:t>
            </w:r>
          </w:p>
          <w:p>
            <w:pPr>
              <w:pStyle w:val="79"/>
              <w:ind w:firstLine="436"/>
              <w:rPr>
                <w:sz w:val="24"/>
                <w:szCs w:val="24"/>
              </w:rPr>
            </w:pPr>
            <w:r>
              <w:rPr>
                <w:spacing w:val="-11"/>
                <w:sz w:val="24"/>
                <w:szCs w:val="24"/>
              </w:rPr>
              <w:t>在医院医疗废水处理过程中，大量悬浮在水中的有机、无机污染物和致病菌、病毒、</w:t>
            </w:r>
            <w:r>
              <w:rPr>
                <w:spacing w:val="-15"/>
                <w:sz w:val="24"/>
                <w:szCs w:val="24"/>
              </w:rPr>
              <w:t>寄生虫卵等沉淀分离出来形成污泥若不妥善消毒处理，任意排放或弃置，同样会污染环境，造成疾病传播和流行。医疗废水处理污泥量按下式进行计算：</w:t>
            </w:r>
          </w:p>
          <w:p>
            <w:pPr>
              <w:spacing w:line="360" w:lineRule="auto"/>
              <w:ind w:firstLine="480" w:firstLineChars="200"/>
              <w:rPr>
                <w:sz w:val="24"/>
                <w:szCs w:val="24"/>
              </w:rPr>
            </w:pPr>
            <w:r>
              <w:rPr>
                <w:sz w:val="24"/>
                <w:szCs w:val="24"/>
              </w:rPr>
              <w:t>W＝Q(C1-C2＋Cchen)10</w:t>
            </w:r>
            <w:r>
              <w:rPr>
                <w:sz w:val="24"/>
                <w:szCs w:val="24"/>
                <w:vertAlign w:val="superscript"/>
              </w:rPr>
              <w:t>-6</w:t>
            </w:r>
          </w:p>
          <w:p>
            <w:pPr>
              <w:spacing w:line="360" w:lineRule="auto"/>
              <w:ind w:firstLine="480" w:firstLineChars="200"/>
              <w:rPr>
                <w:sz w:val="24"/>
                <w:szCs w:val="24"/>
              </w:rPr>
            </w:pPr>
            <w:r>
              <w:rPr>
                <w:sz w:val="24"/>
                <w:szCs w:val="24"/>
              </w:rPr>
              <w:t>式中：W--污泥量(</w:t>
            </w:r>
            <w:r>
              <w:rPr>
                <w:rFonts w:hint="eastAsia"/>
                <w:sz w:val="24"/>
                <w:szCs w:val="24"/>
              </w:rPr>
              <w:t>t</w:t>
            </w:r>
            <w:r>
              <w:rPr>
                <w:sz w:val="24"/>
                <w:szCs w:val="24"/>
              </w:rPr>
              <w:t>/</w:t>
            </w:r>
            <w:r>
              <w:rPr>
                <w:rFonts w:hint="eastAsia"/>
                <w:sz w:val="24"/>
                <w:szCs w:val="24"/>
              </w:rPr>
              <w:t>a</w:t>
            </w:r>
            <w:r>
              <w:rPr>
                <w:sz w:val="24"/>
                <w:szCs w:val="24"/>
              </w:rPr>
              <w:t>)；</w:t>
            </w:r>
          </w:p>
          <w:p>
            <w:pPr>
              <w:spacing w:line="360" w:lineRule="auto"/>
              <w:ind w:firstLine="480" w:firstLineChars="200"/>
              <w:rPr>
                <w:sz w:val="24"/>
                <w:szCs w:val="24"/>
              </w:rPr>
            </w:pPr>
            <w:r>
              <w:rPr>
                <w:sz w:val="24"/>
                <w:szCs w:val="24"/>
              </w:rPr>
              <w:t>Q--废水量(吨/</w:t>
            </w:r>
            <w:r>
              <w:rPr>
                <w:rFonts w:hint="eastAsia"/>
                <w:sz w:val="24"/>
                <w:szCs w:val="24"/>
              </w:rPr>
              <w:t>a</w:t>
            </w:r>
            <w:r>
              <w:rPr>
                <w:sz w:val="24"/>
                <w:szCs w:val="24"/>
              </w:rPr>
              <w:t>)；</w:t>
            </w:r>
          </w:p>
          <w:p>
            <w:pPr>
              <w:spacing w:line="360" w:lineRule="auto"/>
              <w:ind w:firstLine="480" w:firstLineChars="200"/>
              <w:rPr>
                <w:sz w:val="24"/>
                <w:szCs w:val="24"/>
              </w:rPr>
            </w:pPr>
            <w:r>
              <w:rPr>
                <w:sz w:val="24"/>
                <w:szCs w:val="24"/>
              </w:rPr>
              <w:t xml:space="preserve">C1--废水悬浮物浓度(mg/L)，取 250mg/L </w:t>
            </w:r>
          </w:p>
          <w:p>
            <w:pPr>
              <w:spacing w:line="360" w:lineRule="auto"/>
              <w:ind w:firstLine="480" w:firstLineChars="200"/>
              <w:rPr>
                <w:sz w:val="24"/>
                <w:szCs w:val="24"/>
              </w:rPr>
            </w:pPr>
            <w:r>
              <w:rPr>
                <w:sz w:val="24"/>
                <w:szCs w:val="24"/>
              </w:rPr>
              <w:t>C2--处理后悬浮物浓度(mg/L)，取 20mg/L</w:t>
            </w:r>
          </w:p>
          <w:p>
            <w:pPr>
              <w:spacing w:line="360" w:lineRule="auto"/>
              <w:ind w:firstLine="480" w:firstLineChars="200"/>
              <w:rPr>
                <w:sz w:val="24"/>
                <w:szCs w:val="24"/>
              </w:rPr>
            </w:pPr>
            <w:r>
              <w:rPr>
                <w:sz w:val="24"/>
                <w:szCs w:val="24"/>
              </w:rPr>
              <w:t>Cchen--化学混凝剂、絮凝剂投加浓度，取 0mg/L</w:t>
            </w:r>
          </w:p>
          <w:p>
            <w:pPr>
              <w:pStyle w:val="18"/>
              <w:spacing w:line="360" w:lineRule="auto"/>
              <w:ind w:firstLine="460" w:firstLineChars="200"/>
              <w:rPr>
                <w:color w:val="000000"/>
                <w:sz w:val="24"/>
                <w:szCs w:val="24"/>
              </w:rPr>
            </w:pPr>
            <w:r>
              <w:rPr>
                <w:rFonts w:hint="eastAsia"/>
                <w:spacing w:val="-5"/>
                <w:sz w:val="24"/>
                <w:szCs w:val="24"/>
              </w:rPr>
              <w:t>该扩建</w:t>
            </w:r>
            <w:r>
              <w:rPr>
                <w:spacing w:val="-5"/>
                <w:sz w:val="24"/>
                <w:szCs w:val="24"/>
              </w:rPr>
              <w:t>项目新增医疗废水排放量19831.63</w:t>
            </w:r>
            <w:r>
              <w:rPr>
                <w:rFonts w:hint="eastAsia"/>
                <w:spacing w:val="-5"/>
                <w:sz w:val="24"/>
                <w:szCs w:val="24"/>
              </w:rPr>
              <w:t>t</w:t>
            </w:r>
            <w:r>
              <w:rPr>
                <w:rFonts w:eastAsia="Times New Roman"/>
                <w:sz w:val="24"/>
                <w:szCs w:val="24"/>
              </w:rPr>
              <w:t>/a</w:t>
            </w:r>
            <w:r>
              <w:rPr>
                <w:spacing w:val="-10"/>
                <w:sz w:val="24"/>
                <w:szCs w:val="24"/>
              </w:rPr>
              <w:t>，经上式计算，</w:t>
            </w:r>
            <w:r>
              <w:rPr>
                <w:rFonts w:hint="eastAsia"/>
                <w:spacing w:val="-10"/>
                <w:sz w:val="24"/>
                <w:szCs w:val="24"/>
              </w:rPr>
              <w:t>干</w:t>
            </w:r>
            <w:r>
              <w:rPr>
                <w:spacing w:val="-10"/>
                <w:sz w:val="24"/>
                <w:szCs w:val="24"/>
              </w:rPr>
              <w:t>污泥量</w:t>
            </w:r>
            <w:r>
              <w:rPr>
                <w:rFonts w:hint="eastAsia"/>
                <w:spacing w:val="-10"/>
                <w:sz w:val="24"/>
                <w:szCs w:val="24"/>
              </w:rPr>
              <w:t>约</w:t>
            </w:r>
            <w:r>
              <w:rPr>
                <w:rFonts w:hint="eastAsia"/>
                <w:spacing w:val="-4"/>
                <w:sz w:val="24"/>
                <w:szCs w:val="24"/>
              </w:rPr>
              <w:t>4.</w:t>
            </w:r>
            <w:r>
              <w:rPr>
                <w:spacing w:val="-4"/>
                <w:sz w:val="24"/>
                <w:szCs w:val="24"/>
              </w:rPr>
              <w:t>56t/a</w:t>
            </w:r>
            <w:r>
              <w:rPr>
                <w:spacing w:val="-2"/>
                <w:sz w:val="24"/>
                <w:szCs w:val="24"/>
              </w:rPr>
              <w:t>，项目污</w:t>
            </w:r>
            <w:r>
              <w:rPr>
                <w:spacing w:val="-12"/>
                <w:sz w:val="24"/>
                <w:szCs w:val="24"/>
              </w:rPr>
              <w:t xml:space="preserve">泥含水率约 </w:t>
            </w:r>
            <w:r>
              <w:rPr>
                <w:spacing w:val="-7"/>
                <w:sz w:val="24"/>
                <w:szCs w:val="24"/>
              </w:rPr>
              <w:t>70%</w:t>
            </w:r>
            <w:r>
              <w:rPr>
                <w:spacing w:val="-8"/>
                <w:sz w:val="24"/>
                <w:szCs w:val="24"/>
              </w:rPr>
              <w:t>，即项目产生的污泥量为15.2t</w:t>
            </w:r>
            <w:r>
              <w:rPr>
                <w:sz w:val="24"/>
                <w:szCs w:val="24"/>
              </w:rPr>
              <w:t>/a</w:t>
            </w:r>
            <w:r>
              <w:rPr>
                <w:spacing w:val="-29"/>
                <w:sz w:val="24"/>
                <w:szCs w:val="24"/>
              </w:rPr>
              <w:t>。</w:t>
            </w:r>
            <w:r>
              <w:rPr>
                <w:color w:val="000000"/>
                <w:sz w:val="24"/>
                <w:szCs w:val="24"/>
              </w:rPr>
              <w:t>按照《医疗机构水污染物排放标准》（GB18466-2005）和《国家危险废物名录》（20</w:t>
            </w:r>
            <w:r>
              <w:rPr>
                <w:rFonts w:hint="eastAsia"/>
                <w:color w:val="000000"/>
                <w:sz w:val="24"/>
                <w:szCs w:val="24"/>
              </w:rPr>
              <w:t>21</w:t>
            </w:r>
            <w:r>
              <w:rPr>
                <w:color w:val="000000"/>
                <w:sz w:val="24"/>
                <w:szCs w:val="24"/>
              </w:rPr>
              <w:t>）规定，该类废物属于危险废物，其应妥善收集后交由医疗废物处置单位处理。</w:t>
            </w:r>
          </w:p>
          <w:p>
            <w:pPr>
              <w:pStyle w:val="79"/>
              <w:ind w:firstLine="482"/>
              <w:rPr>
                <w:b/>
                <w:bCs/>
                <w:color w:val="000000"/>
                <w:sz w:val="24"/>
                <w:szCs w:val="24"/>
              </w:rPr>
            </w:pPr>
            <w:r>
              <w:rPr>
                <w:b/>
                <w:bCs/>
                <w:color w:val="000000"/>
                <w:sz w:val="24"/>
                <w:szCs w:val="24"/>
              </w:rPr>
              <w:t>（3）办公生活垃圾</w:t>
            </w:r>
          </w:p>
          <w:p>
            <w:pPr>
              <w:pStyle w:val="79"/>
              <w:ind w:firstLine="480"/>
              <w:rPr>
                <w:color w:val="000000"/>
                <w:sz w:val="24"/>
                <w:szCs w:val="24"/>
              </w:rPr>
            </w:pPr>
            <w:r>
              <w:rPr>
                <w:color w:val="000000"/>
                <w:sz w:val="24"/>
                <w:szCs w:val="24"/>
              </w:rPr>
              <w:t>医务人员办公和病人日常生活会产生一定量的生活垃圾等，</w:t>
            </w:r>
            <w:r>
              <w:rPr>
                <w:rFonts w:hint="eastAsia"/>
                <w:color w:val="000000"/>
                <w:sz w:val="24"/>
                <w:szCs w:val="24"/>
              </w:rPr>
              <w:t>该建设</w:t>
            </w:r>
            <w:r>
              <w:rPr>
                <w:color w:val="000000"/>
                <w:sz w:val="24"/>
                <w:szCs w:val="24"/>
              </w:rPr>
              <w:t>项目</w:t>
            </w:r>
            <w:r>
              <w:rPr>
                <w:rFonts w:hint="eastAsia"/>
                <w:color w:val="000000"/>
                <w:sz w:val="24"/>
                <w:szCs w:val="24"/>
              </w:rPr>
              <w:t>新增</w:t>
            </w:r>
            <w:r>
              <w:rPr>
                <w:color w:val="000000"/>
                <w:sz w:val="24"/>
                <w:szCs w:val="24"/>
              </w:rPr>
              <w:t>床位数为88张，住院病人按每病床每日产生生活垃圾0.1kg计，则生活垃圾产生量为3.2t/a；门诊规模就诊人数约30人/d，垃圾按每日每人次产生0.05kg计，则生活垃圾产生量为0.55t/a；扩建项目新增医务人员及办公人员共50人，每人每日产生生活垃圾按0.1kg计，则生活垃圾产生量为1.82t/a。则扩建项目共产生生活垃圾5.57t/a，集中收集后交由环卫部门统一处理。</w:t>
            </w:r>
          </w:p>
          <w:p>
            <w:pPr>
              <w:pStyle w:val="79"/>
              <w:ind w:firstLine="482"/>
              <w:rPr>
                <w:b/>
                <w:bCs/>
                <w:color w:val="000000"/>
                <w:sz w:val="24"/>
                <w:szCs w:val="24"/>
              </w:rPr>
            </w:pPr>
            <w:r>
              <w:rPr>
                <w:b/>
                <w:bCs/>
                <w:color w:val="000000"/>
                <w:sz w:val="24"/>
                <w:szCs w:val="24"/>
              </w:rPr>
              <w:t>（4）食堂餐厨垃圾</w:t>
            </w:r>
          </w:p>
          <w:p>
            <w:pPr>
              <w:pStyle w:val="79"/>
              <w:ind w:firstLine="480"/>
              <w:rPr>
                <w:color w:val="000000"/>
              </w:rPr>
            </w:pPr>
            <w:r>
              <w:rPr>
                <w:color w:val="000000"/>
                <w:sz w:val="24"/>
                <w:szCs w:val="24"/>
              </w:rPr>
              <w:t>扩建项目实施后，</w:t>
            </w:r>
            <w:r>
              <w:rPr>
                <w:rFonts w:hint="eastAsia"/>
                <w:color w:val="000000"/>
                <w:sz w:val="24"/>
                <w:szCs w:val="24"/>
              </w:rPr>
              <w:t>员工人数2</w:t>
            </w:r>
            <w:r>
              <w:rPr>
                <w:color w:val="000000"/>
                <w:sz w:val="24"/>
                <w:szCs w:val="24"/>
              </w:rPr>
              <w:t>30</w:t>
            </w:r>
            <w:r>
              <w:rPr>
                <w:rFonts w:hint="eastAsia"/>
                <w:color w:val="000000"/>
                <w:sz w:val="24"/>
                <w:szCs w:val="24"/>
              </w:rPr>
              <w:t>人</w:t>
            </w:r>
            <w:r>
              <w:rPr>
                <w:color w:val="000000"/>
                <w:sz w:val="24"/>
                <w:szCs w:val="24"/>
              </w:rPr>
              <w:t>，</w:t>
            </w:r>
            <w:r>
              <w:rPr>
                <w:rFonts w:hint="eastAsia"/>
                <w:color w:val="000000"/>
                <w:sz w:val="24"/>
                <w:szCs w:val="24"/>
              </w:rPr>
              <w:t>每人年平均工作2</w:t>
            </w:r>
            <w:r>
              <w:rPr>
                <w:color w:val="000000"/>
                <w:sz w:val="24"/>
                <w:szCs w:val="24"/>
              </w:rPr>
              <w:t>40</w:t>
            </w:r>
            <w:r>
              <w:rPr>
                <w:rFonts w:hint="eastAsia"/>
                <w:color w:val="000000"/>
                <w:sz w:val="24"/>
                <w:szCs w:val="24"/>
              </w:rPr>
              <w:t>天。</w:t>
            </w:r>
            <w:r>
              <w:rPr>
                <w:color w:val="000000"/>
                <w:sz w:val="24"/>
                <w:szCs w:val="24"/>
              </w:rPr>
              <w:t>餐厨垃圾产生量按0.2 kg/人·d计，则餐厨垃圾产生量为11.04t/a。其收集后交由餐厨垃圾回收公司处置。</w:t>
            </w:r>
          </w:p>
          <w:p>
            <w:pPr>
              <w:pStyle w:val="6"/>
              <w:tabs>
                <w:tab w:val="left" w:pos="4152"/>
              </w:tabs>
              <w:spacing w:before="160"/>
              <w:jc w:val="center"/>
            </w:pPr>
            <w:r>
              <w:rPr>
                <w:rFonts w:hint="eastAsia"/>
              </w:rPr>
              <w:t>表4-</w:t>
            </w:r>
            <w:r>
              <w:t>7</w:t>
            </w:r>
            <w:r>
              <w:rPr>
                <w:rFonts w:hint="eastAsia"/>
              </w:rPr>
              <w:t xml:space="preserve"> 该扩建</w:t>
            </w:r>
            <w:r>
              <w:t>项目固体废物产生情况</w:t>
            </w:r>
          </w:p>
          <w:p>
            <w:pPr>
              <w:pStyle w:val="18"/>
              <w:spacing w:before="3"/>
              <w:rPr>
                <w:b/>
                <w:sz w:val="12"/>
              </w:rPr>
            </w:pPr>
          </w:p>
          <w:tbl>
            <w:tblPr>
              <w:tblStyle w:val="27"/>
              <w:tblW w:w="8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4"/>
              <w:gridCol w:w="2645"/>
              <w:gridCol w:w="1376"/>
              <w:gridCol w:w="1462"/>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114"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序号</w:t>
                  </w:r>
                </w:p>
              </w:tc>
              <w:tc>
                <w:tcPr>
                  <w:tcW w:w="2645"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固废名称</w:t>
                  </w:r>
                </w:p>
              </w:tc>
              <w:tc>
                <w:tcPr>
                  <w:tcW w:w="1376"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类别</w:t>
                  </w:r>
                </w:p>
              </w:tc>
              <w:tc>
                <w:tcPr>
                  <w:tcW w:w="1462"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年产生量(t/a)</w:t>
                  </w:r>
                </w:p>
              </w:tc>
              <w:tc>
                <w:tcPr>
                  <w:tcW w:w="2003"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jc w:val="center"/>
              </w:trPr>
              <w:tc>
                <w:tcPr>
                  <w:tcW w:w="1114"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w w:val="99"/>
                    </w:rPr>
                    <w:t>1</w:t>
                  </w:r>
                </w:p>
              </w:tc>
              <w:tc>
                <w:tcPr>
                  <w:tcW w:w="2645" w:type="dxa"/>
                  <w:vAlign w:val="center"/>
                </w:tcPr>
                <w:p>
                  <w:pPr>
                    <w:pStyle w:val="63"/>
                    <w:spacing w:line="240" w:lineRule="auto"/>
                    <w:ind w:left="0"/>
                    <w:jc w:val="both"/>
                    <w:rPr>
                      <w:rFonts w:ascii="Times New Roman" w:hAnsi="Times New Roman" w:eastAsia="宋体" w:cs="Times New Roman"/>
                      <w:lang w:eastAsia="zh-CN"/>
                    </w:rPr>
                  </w:pPr>
                  <w:r>
                    <w:rPr>
                      <w:rFonts w:ascii="Times New Roman" w:hAnsi="Times New Roman" w:eastAsia="宋体" w:cs="Times New Roman"/>
                      <w:lang w:eastAsia="zh-CN"/>
                    </w:rPr>
                    <w:t>医疗废物</w:t>
                  </w:r>
                  <w:r>
                    <w:rPr>
                      <w:rFonts w:hint="eastAsia" w:ascii="Times New Roman" w:hAnsi="Times New Roman" w:eastAsia="宋体" w:cs="Times New Roman"/>
                      <w:lang w:eastAsia="zh-CN"/>
                    </w:rPr>
                    <w:t>（包含</w:t>
                  </w:r>
                  <w:r>
                    <w:rPr>
                      <w:rFonts w:ascii="Times New Roman" w:hAnsi="Times New Roman" w:eastAsia="宋体" w:cs="Times New Roman"/>
                      <w:lang w:eastAsia="zh-CN"/>
                    </w:rPr>
                    <w:t>感染性废物</w:t>
                  </w:r>
                </w:p>
                <w:p>
                  <w:pPr>
                    <w:pStyle w:val="63"/>
                    <w:spacing w:line="240" w:lineRule="auto"/>
                    <w:ind w:left="0"/>
                    <w:jc w:val="both"/>
                    <w:rPr>
                      <w:rFonts w:ascii="Times New Roman" w:hAnsi="Times New Roman" w:eastAsia="宋体" w:cs="Times New Roman"/>
                      <w:lang w:eastAsia="zh-CN"/>
                    </w:rPr>
                  </w:pPr>
                  <w:r>
                    <w:rPr>
                      <w:rFonts w:hint="eastAsia" w:ascii="Times New Roman" w:hAnsi="Times New Roman" w:eastAsia="宋体" w:cs="Times New Roman"/>
                      <w:lang w:eastAsia="zh-CN"/>
                    </w:rPr>
                    <w:t>、</w:t>
                  </w:r>
                  <w:r>
                    <w:rPr>
                      <w:rFonts w:ascii="Times New Roman" w:hAnsi="Times New Roman" w:eastAsia="宋体" w:cs="Times New Roman"/>
                      <w:lang w:eastAsia="zh-CN"/>
                    </w:rPr>
                    <w:t>病理性废物</w:t>
                  </w:r>
                  <w:r>
                    <w:rPr>
                      <w:rFonts w:hint="eastAsia" w:ascii="Times New Roman" w:hAnsi="Times New Roman" w:eastAsia="宋体" w:cs="Times New Roman"/>
                      <w:lang w:eastAsia="zh-CN"/>
                    </w:rPr>
                    <w:t>、</w:t>
                  </w:r>
                  <w:r>
                    <w:rPr>
                      <w:rFonts w:ascii="Times New Roman" w:hAnsi="Times New Roman" w:eastAsia="宋体" w:cs="Times New Roman"/>
                      <w:lang w:eastAsia="zh-CN"/>
                    </w:rPr>
                    <w:t>损伤性废物</w:t>
                  </w:r>
                </w:p>
                <w:p>
                  <w:pPr>
                    <w:pStyle w:val="63"/>
                    <w:spacing w:line="240" w:lineRule="auto"/>
                    <w:ind w:left="0"/>
                    <w:jc w:val="both"/>
                    <w:rPr>
                      <w:rFonts w:ascii="Times New Roman" w:hAnsi="Times New Roman" w:eastAsia="宋体" w:cs="Times New Roman"/>
                      <w:lang w:eastAsia="zh-CN"/>
                    </w:rPr>
                  </w:pPr>
                  <w:r>
                    <w:rPr>
                      <w:rFonts w:hint="eastAsia" w:ascii="Times New Roman" w:hAnsi="Times New Roman" w:eastAsia="宋体" w:cs="Times New Roman"/>
                      <w:lang w:eastAsia="zh-CN"/>
                    </w:rPr>
                    <w:t>、</w:t>
                  </w:r>
                  <w:r>
                    <w:rPr>
                      <w:rFonts w:ascii="Times New Roman" w:hAnsi="Times New Roman" w:eastAsia="宋体" w:cs="Times New Roman"/>
                      <w:lang w:eastAsia="zh-CN"/>
                    </w:rPr>
                    <w:t>药物性废物</w:t>
                  </w:r>
                  <w:r>
                    <w:rPr>
                      <w:rFonts w:hint="eastAsia" w:ascii="Times New Roman" w:hAnsi="Times New Roman" w:eastAsia="宋体" w:cs="Times New Roman"/>
                      <w:lang w:eastAsia="zh-CN"/>
                    </w:rPr>
                    <w:t>、</w:t>
                  </w:r>
                  <w:r>
                    <w:rPr>
                      <w:rFonts w:ascii="Times New Roman" w:hAnsi="Times New Roman" w:eastAsia="宋体" w:cs="Times New Roman"/>
                      <w:lang w:eastAsia="zh-CN"/>
                    </w:rPr>
                    <w:t>化学性废物</w:t>
                  </w:r>
                  <w:r>
                    <w:rPr>
                      <w:rFonts w:hint="eastAsia" w:ascii="Times New Roman" w:hAnsi="Times New Roman" w:eastAsia="宋体" w:cs="Times New Roman"/>
                      <w:lang w:eastAsia="zh-CN"/>
                    </w:rPr>
                    <w:t>）</w:t>
                  </w:r>
                </w:p>
              </w:tc>
              <w:tc>
                <w:tcPr>
                  <w:tcW w:w="1376"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危险废物 HW01</w:t>
                  </w:r>
                </w:p>
              </w:tc>
              <w:tc>
                <w:tcPr>
                  <w:tcW w:w="1462" w:type="dxa"/>
                  <w:vAlign w:val="center"/>
                </w:tcPr>
                <w:p>
                  <w:pPr>
                    <w:pStyle w:val="63"/>
                    <w:spacing w:line="240" w:lineRule="auto"/>
                    <w:ind w:left="0"/>
                    <w:rPr>
                      <w:rFonts w:ascii="Times New Roman" w:hAnsi="Times New Roman" w:eastAsia="宋体" w:cs="Times New Roman"/>
                      <w:lang w:eastAsia="zh-CN"/>
                    </w:rPr>
                  </w:pPr>
                  <w:r>
                    <w:rPr>
                      <w:rFonts w:hint="eastAsia" w:ascii="Times New Roman" w:hAnsi="Times New Roman" w:eastAsia="宋体" w:cs="Times New Roman"/>
                      <w:lang w:eastAsia="zh-CN"/>
                    </w:rPr>
                    <w:t>3.2</w:t>
                  </w:r>
                </w:p>
              </w:tc>
              <w:tc>
                <w:tcPr>
                  <w:tcW w:w="2003" w:type="dxa"/>
                  <w:vMerge w:val="restart"/>
                  <w:vAlign w:val="center"/>
                </w:tcPr>
                <w:p>
                  <w:pPr>
                    <w:pStyle w:val="63"/>
                    <w:spacing w:line="240" w:lineRule="auto"/>
                    <w:ind w:left="0"/>
                    <w:jc w:val="center"/>
                    <w:rPr>
                      <w:rFonts w:hint="eastAsia" w:ascii="Times New Roman" w:hAnsi="Times New Roman" w:eastAsia="宋体" w:cs="Times New Roman"/>
                      <w:lang w:eastAsia="zh-CN"/>
                    </w:rPr>
                  </w:pPr>
                </w:p>
                <w:p>
                  <w:pPr>
                    <w:pStyle w:val="63"/>
                    <w:spacing w:line="240" w:lineRule="auto"/>
                    <w:ind w:left="0"/>
                    <w:jc w:val="center"/>
                    <w:rPr>
                      <w:rFonts w:hint="eastAsia" w:ascii="Times New Roman" w:hAnsi="Times New Roman" w:eastAsia="宋体" w:cs="Times New Roman"/>
                      <w:lang w:eastAsia="zh-CN"/>
                    </w:rPr>
                  </w:pPr>
                </w:p>
                <w:p>
                  <w:pPr>
                    <w:pStyle w:val="63"/>
                    <w:spacing w:line="240" w:lineRule="auto"/>
                    <w:ind w:left="0"/>
                    <w:jc w:val="center"/>
                    <w:rPr>
                      <w:rFonts w:ascii="Times New Roman" w:hAnsi="Times New Roman" w:eastAsia="宋体" w:cs="Times New Roman"/>
                      <w:lang w:eastAsia="zh-CN"/>
                    </w:rPr>
                  </w:pPr>
                  <w:r>
                    <w:rPr>
                      <w:rFonts w:hint="eastAsia" w:ascii="Times New Roman" w:hAnsi="Times New Roman" w:eastAsia="宋体" w:cs="Times New Roman"/>
                      <w:lang w:eastAsia="zh-CN"/>
                    </w:rPr>
                    <w:t>定期交由有资质单位处理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4" w:hRule="atLeast"/>
                <w:jc w:val="center"/>
              </w:trPr>
              <w:tc>
                <w:tcPr>
                  <w:tcW w:w="1114"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2</w:t>
                  </w:r>
                </w:p>
              </w:tc>
              <w:tc>
                <w:tcPr>
                  <w:tcW w:w="2645"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废水处理污泥</w:t>
                  </w:r>
                </w:p>
              </w:tc>
              <w:tc>
                <w:tcPr>
                  <w:tcW w:w="1376" w:type="dxa"/>
                  <w:vAlign w:val="center"/>
                </w:tcPr>
                <w:p>
                  <w:pPr>
                    <w:pStyle w:val="63"/>
                    <w:spacing w:line="240" w:lineRule="auto"/>
                    <w:ind w:left="0"/>
                    <w:rPr>
                      <w:rFonts w:hint="eastAsia" w:ascii="Times New Roman" w:hAnsi="Times New Roman" w:eastAsia="宋体" w:cs="Times New Roman"/>
                      <w:lang w:eastAsia="zh-CN"/>
                    </w:rPr>
                  </w:pPr>
                  <w:r>
                    <w:rPr>
                      <w:rFonts w:hint="eastAsia" w:ascii="Times New Roman" w:hAnsi="Times New Roman" w:eastAsia="宋体" w:cs="Times New Roman"/>
                      <w:lang w:eastAsia="zh-CN"/>
                    </w:rPr>
                    <w:t>危险废物H</w:t>
                  </w:r>
                  <w:r>
                    <w:rPr>
                      <w:rFonts w:ascii="Times New Roman" w:hAnsi="Times New Roman" w:eastAsia="宋体" w:cs="Times New Roman"/>
                      <w:lang w:eastAsia="zh-CN"/>
                    </w:rPr>
                    <w:t>W01</w:t>
                  </w:r>
                </w:p>
              </w:tc>
              <w:tc>
                <w:tcPr>
                  <w:tcW w:w="1462" w:type="dxa"/>
                  <w:vAlign w:val="center"/>
                </w:tcPr>
                <w:p>
                  <w:pPr>
                    <w:pStyle w:val="63"/>
                    <w:spacing w:line="240" w:lineRule="auto"/>
                    <w:ind w:left="0"/>
                    <w:rPr>
                      <w:rFonts w:ascii="Times New Roman" w:hAnsi="Times New Roman" w:eastAsia="宋体" w:cs="Times New Roman"/>
                    </w:rPr>
                  </w:pPr>
                  <w:r>
                    <w:rPr>
                      <w:rFonts w:hint="eastAsia" w:ascii="Times New Roman" w:hAnsi="Times New Roman" w:eastAsia="宋体" w:cs="Times New Roman"/>
                      <w:lang w:eastAsia="zh-CN"/>
                    </w:rPr>
                    <w:t>15.2</w:t>
                  </w:r>
                </w:p>
              </w:tc>
              <w:tc>
                <w:tcPr>
                  <w:tcW w:w="2003"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jc w:val="center"/>
              </w:trPr>
              <w:tc>
                <w:tcPr>
                  <w:tcW w:w="1114"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3</w:t>
                  </w:r>
                </w:p>
              </w:tc>
              <w:tc>
                <w:tcPr>
                  <w:tcW w:w="2645"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rPr>
                    <w:t>生活垃圾</w:t>
                  </w:r>
                </w:p>
              </w:tc>
              <w:tc>
                <w:tcPr>
                  <w:tcW w:w="1376"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一般固废</w:t>
                  </w:r>
                </w:p>
              </w:tc>
              <w:tc>
                <w:tcPr>
                  <w:tcW w:w="1462"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5.57</w:t>
                  </w:r>
                </w:p>
              </w:tc>
              <w:tc>
                <w:tcPr>
                  <w:tcW w:w="2003" w:type="dxa"/>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由环卫部门清运处理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114"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4</w:t>
                  </w:r>
                </w:p>
              </w:tc>
              <w:tc>
                <w:tcPr>
                  <w:tcW w:w="2645" w:type="dxa"/>
                  <w:vAlign w:val="center"/>
                </w:tcPr>
                <w:p>
                  <w:pPr>
                    <w:pStyle w:val="63"/>
                    <w:spacing w:line="240" w:lineRule="auto"/>
                    <w:ind w:left="0"/>
                    <w:rPr>
                      <w:rFonts w:ascii="Times New Roman" w:hAnsi="Times New Roman" w:eastAsia="宋体" w:cs="Times New Roman"/>
                      <w:w w:val="99"/>
                      <w:lang w:eastAsia="zh-CN"/>
                    </w:rPr>
                  </w:pPr>
                  <w:r>
                    <w:rPr>
                      <w:rFonts w:hint="eastAsia" w:ascii="Times New Roman" w:hAnsi="Times New Roman" w:eastAsia="宋体" w:cs="Times New Roman"/>
                      <w:lang w:eastAsia="zh-CN"/>
                    </w:rPr>
                    <w:t>食堂餐厨垃圾</w:t>
                  </w:r>
                </w:p>
              </w:tc>
              <w:tc>
                <w:tcPr>
                  <w:tcW w:w="1376" w:type="dxa"/>
                  <w:vAlign w:val="center"/>
                </w:tcPr>
                <w:p>
                  <w:pPr>
                    <w:pStyle w:val="63"/>
                    <w:spacing w:line="240" w:lineRule="auto"/>
                    <w:ind w:left="0"/>
                    <w:rPr>
                      <w:rFonts w:ascii="Times New Roman" w:hAnsi="Times New Roman" w:eastAsia="宋体" w:cs="Times New Roman"/>
                      <w:w w:val="99"/>
                      <w:lang w:eastAsia="zh-CN"/>
                    </w:rPr>
                  </w:pPr>
                  <w:r>
                    <w:rPr>
                      <w:rFonts w:hint="eastAsia" w:ascii="Times New Roman" w:hAnsi="Times New Roman" w:eastAsia="宋体" w:cs="Times New Roman"/>
                      <w:lang w:eastAsia="zh-CN"/>
                    </w:rPr>
                    <w:t>餐厨垃圾</w:t>
                  </w:r>
                </w:p>
              </w:tc>
              <w:tc>
                <w:tcPr>
                  <w:tcW w:w="1462" w:type="dxa"/>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11.04</w:t>
                  </w:r>
                </w:p>
              </w:tc>
              <w:tc>
                <w:tcPr>
                  <w:tcW w:w="2003" w:type="dxa"/>
                  <w:vAlign w:val="center"/>
                </w:tcPr>
                <w:p>
                  <w:pPr>
                    <w:pStyle w:val="63"/>
                    <w:spacing w:line="240" w:lineRule="auto"/>
                    <w:ind w:left="0"/>
                    <w:rPr>
                      <w:rFonts w:ascii="Times New Roman" w:hAnsi="Times New Roman" w:eastAsia="宋体" w:cs="Times New Roman"/>
                      <w:w w:val="99"/>
                      <w:lang w:eastAsia="zh-CN"/>
                    </w:rPr>
                  </w:pPr>
                  <w:r>
                    <w:rPr>
                      <w:rFonts w:ascii="Times New Roman" w:hAnsi="Times New Roman" w:eastAsia="宋体" w:cs="Times New Roman"/>
                      <w:color w:val="000000"/>
                      <w:lang w:eastAsia="zh-CN"/>
                    </w:rPr>
                    <w:t>餐厨垃圾回收公司</w:t>
                  </w:r>
                  <w:r>
                    <w:rPr>
                      <w:rFonts w:hint="eastAsia" w:ascii="Times New Roman" w:hAnsi="Times New Roman" w:eastAsia="宋体" w:cs="Times New Roman"/>
                      <w:color w:val="000000"/>
                      <w:lang w:eastAsia="zh-CN"/>
                    </w:rPr>
                    <w:t>处置</w:t>
                  </w:r>
                </w:p>
              </w:tc>
            </w:tr>
          </w:tbl>
          <w:p>
            <w:pPr>
              <w:pStyle w:val="79"/>
              <w:ind w:firstLine="0" w:firstLineChars="0"/>
              <w:rPr>
                <w:color w:val="000000"/>
                <w:sz w:val="24"/>
                <w:szCs w:val="24"/>
              </w:rPr>
            </w:pPr>
          </w:p>
          <w:p>
            <w:pPr>
              <w:pStyle w:val="79"/>
              <w:ind w:firstLine="480"/>
              <w:rPr>
                <w:color w:val="000000"/>
                <w:sz w:val="24"/>
                <w:szCs w:val="24"/>
              </w:rPr>
            </w:pPr>
            <w:r>
              <w:rPr>
                <w:color w:val="000000"/>
                <w:sz w:val="24"/>
                <w:szCs w:val="24"/>
              </w:rPr>
              <w:t>扩建项目</w:t>
            </w:r>
            <w:r>
              <w:rPr>
                <w:rFonts w:hint="eastAsia"/>
                <w:color w:val="000000"/>
                <w:sz w:val="24"/>
                <w:szCs w:val="24"/>
              </w:rPr>
              <w:t>对固体废物处理</w:t>
            </w:r>
            <w:r>
              <w:rPr>
                <w:color w:val="000000"/>
                <w:sz w:val="24"/>
                <w:szCs w:val="24"/>
              </w:rPr>
              <w:t>的原则及环境管理的要求为：</w:t>
            </w:r>
          </w:p>
          <w:p>
            <w:pPr>
              <w:pStyle w:val="79"/>
              <w:ind w:firstLine="480"/>
              <w:rPr>
                <w:color w:val="000000"/>
                <w:sz w:val="24"/>
                <w:szCs w:val="24"/>
              </w:rPr>
            </w:pPr>
            <w:r>
              <w:rPr>
                <w:color w:val="000000"/>
                <w:sz w:val="24"/>
                <w:szCs w:val="24"/>
              </w:rPr>
              <w:t>（1）生活垃圾收集实行分类化，纸质包装、金属包装、塑料包装和玻璃包装等通过分类收集（可利用、不可回收利用）减少垃圾的填埋量，提高资源的利用率</w:t>
            </w:r>
            <w:r>
              <w:rPr>
                <w:rFonts w:hint="eastAsia"/>
                <w:color w:val="000000"/>
                <w:sz w:val="24"/>
                <w:szCs w:val="24"/>
              </w:rPr>
              <w:t>，定期交由</w:t>
            </w:r>
            <w:r>
              <w:rPr>
                <w:color w:val="000000"/>
                <w:sz w:val="24"/>
                <w:szCs w:val="24"/>
              </w:rPr>
              <w:t>环卫部门统一处理。</w:t>
            </w:r>
          </w:p>
          <w:p>
            <w:pPr>
              <w:pStyle w:val="79"/>
              <w:ind w:firstLine="480"/>
              <w:rPr>
                <w:color w:val="000000"/>
                <w:sz w:val="24"/>
                <w:szCs w:val="24"/>
              </w:rPr>
            </w:pPr>
            <w:r>
              <w:rPr>
                <w:rFonts w:hint="eastAsia"/>
                <w:color w:val="000000"/>
                <w:sz w:val="24"/>
                <w:szCs w:val="24"/>
              </w:rPr>
              <w:t>（2）</w:t>
            </w:r>
            <w:r>
              <w:rPr>
                <w:color w:val="000000"/>
                <w:sz w:val="24"/>
                <w:szCs w:val="24"/>
              </w:rPr>
              <w:t>医院应当及时收集本单位产生的医疗废物，并按照类别分置于防渗漏、防锐器穿透的专用包装物或者密闭的容器内。医疗废物专用包装物、容器，应当有明显的警示标识和警示说明。</w:t>
            </w:r>
          </w:p>
          <w:p>
            <w:pPr>
              <w:pStyle w:val="79"/>
              <w:ind w:firstLine="480"/>
              <w:rPr>
                <w:color w:val="000000"/>
                <w:sz w:val="24"/>
                <w:szCs w:val="24"/>
              </w:rPr>
            </w:pPr>
            <w:r>
              <w:rPr>
                <w:rFonts w:hint="eastAsia"/>
                <w:color w:val="000000"/>
                <w:sz w:val="24"/>
                <w:szCs w:val="24"/>
              </w:rPr>
              <w:t>（3）</w:t>
            </w:r>
            <w:r>
              <w:rPr>
                <w:color w:val="000000"/>
                <w:sz w:val="24"/>
                <w:szCs w:val="24"/>
              </w:rPr>
              <w:t xml:space="preserve"> 医疗废物暂时贮存的时间不得超过 2 天。医疗废物的暂时贮存设施、设备，应当远离医疗区、食品加工区和人员活动区以及生活垃圾存放场所，并设置明显的警示标识和防渗漏等措施。医疗废物的暂时贮存设施、设备应当定期消毒和清洁。</w:t>
            </w:r>
          </w:p>
          <w:p>
            <w:pPr>
              <w:pStyle w:val="79"/>
              <w:ind w:firstLine="480"/>
              <w:rPr>
                <w:color w:val="000000"/>
                <w:sz w:val="24"/>
                <w:szCs w:val="24"/>
              </w:rPr>
            </w:pPr>
            <w:r>
              <w:rPr>
                <w:rFonts w:hint="eastAsia"/>
                <w:color w:val="000000"/>
                <w:sz w:val="24"/>
                <w:szCs w:val="24"/>
              </w:rPr>
              <w:t>（</w:t>
            </w:r>
            <w:r>
              <w:rPr>
                <w:color w:val="000000"/>
                <w:sz w:val="24"/>
                <w:szCs w:val="24"/>
              </w:rPr>
              <w:t>4</w:t>
            </w:r>
            <w:r>
              <w:rPr>
                <w:rFonts w:hint="eastAsia"/>
                <w:color w:val="000000"/>
                <w:sz w:val="24"/>
                <w:szCs w:val="24"/>
              </w:rPr>
              <w:t>）医院应当使用防渗漏、防遗撒的专用运送工具，按照本单位确定的内部医疗废物运送时间、路线，将医疗废物收集、运送至暂时贮存地点。运送工具使用后应当在医疗卫生机构内指定的地点及时消毒和清洁。危险废物的运输应采取危险废物转移联单制度，保证运输安全，防止非法转移和非法处置，保证危险废物的安全监控，</w:t>
            </w:r>
            <w:r>
              <w:rPr>
                <w:color w:val="000000"/>
                <w:sz w:val="24"/>
                <w:szCs w:val="24"/>
              </w:rPr>
              <w:t xml:space="preserve"> </w:t>
            </w:r>
            <w:r>
              <w:rPr>
                <w:rFonts w:hint="eastAsia"/>
                <w:color w:val="000000"/>
                <w:sz w:val="24"/>
                <w:szCs w:val="24"/>
              </w:rPr>
              <w:t>防止危险废物污染事故发生。</w:t>
            </w:r>
          </w:p>
          <w:p>
            <w:pPr>
              <w:pStyle w:val="79"/>
              <w:ind w:firstLine="480"/>
              <w:rPr>
                <w:color w:val="000000"/>
                <w:sz w:val="24"/>
                <w:szCs w:val="24"/>
              </w:rPr>
            </w:pPr>
            <w:r>
              <w:rPr>
                <w:color w:val="000000"/>
                <w:sz w:val="24"/>
                <w:szCs w:val="24"/>
              </w:rPr>
              <w:t>（</w:t>
            </w:r>
            <w:r>
              <w:rPr>
                <w:rFonts w:hint="eastAsia"/>
                <w:color w:val="000000"/>
                <w:sz w:val="24"/>
                <w:szCs w:val="24"/>
              </w:rPr>
              <w:t>5</w:t>
            </w:r>
            <w:r>
              <w:rPr>
                <w:color w:val="000000"/>
                <w:sz w:val="24"/>
                <w:szCs w:val="24"/>
              </w:rPr>
              <w:t>）管理要求：将项目内危险废物的产生、贮存、利用、处置等情况纳入生产记录，并建立危险废物管理台账，如实记录相关信息并及时依法向环保部门申报。</w:t>
            </w:r>
          </w:p>
          <w:p>
            <w:pPr>
              <w:numPr>
                <w:ilvl w:val="0"/>
                <w:numId w:val="10"/>
              </w:numPr>
              <w:spacing w:line="360" w:lineRule="auto"/>
              <w:ind w:firstLine="482" w:firstLineChars="200"/>
              <w:rPr>
                <w:b/>
                <w:bCs/>
                <w:color w:val="000000"/>
                <w:sz w:val="24"/>
              </w:rPr>
            </w:pPr>
            <w:r>
              <w:rPr>
                <w:b/>
                <w:bCs/>
                <w:color w:val="000000"/>
                <w:sz w:val="24"/>
              </w:rPr>
              <w:t>污染源监测计划</w:t>
            </w:r>
          </w:p>
          <w:p>
            <w:pPr>
              <w:spacing w:line="360" w:lineRule="auto"/>
              <w:ind w:firstLine="464" w:firstLineChars="200"/>
            </w:pPr>
            <w:r>
              <w:rPr>
                <w:spacing w:val="-4"/>
                <w:sz w:val="24"/>
                <w:szCs w:val="24"/>
              </w:rPr>
              <w:t>从保护环境出发，根据医院特点和周边环境特点，以及相应的环保设施，制定环</w:t>
            </w:r>
            <w:r>
              <w:rPr>
                <w:spacing w:val="-7"/>
                <w:sz w:val="24"/>
                <w:szCs w:val="24"/>
              </w:rPr>
              <w:t>保监测计划，其目的是要监测本建设项目在今后运行期间的各种环境因素，应用监测</w:t>
            </w:r>
            <w:r>
              <w:rPr>
                <w:spacing w:val="-9"/>
                <w:sz w:val="24"/>
                <w:szCs w:val="24"/>
              </w:rPr>
              <w:t>得到的反馈信息，及时发现生产过程中对环境产生的不利影响，或环保措施的不正常运作，及时修正和改进，使出现的环境问题能得到及时解决，防止环境质量下降，保</w:t>
            </w:r>
            <w:r>
              <w:rPr>
                <w:spacing w:val="-10"/>
                <w:sz w:val="24"/>
                <w:szCs w:val="24"/>
              </w:rPr>
              <w:t>障经济和社会的可持续发展。</w:t>
            </w:r>
            <w:r>
              <w:rPr>
                <w:rFonts w:hint="eastAsia"/>
                <w:color w:val="000000" w:themeColor="text1"/>
                <w:sz w:val="24"/>
                <w:szCs w:val="24"/>
                <w14:textFill>
                  <w14:solidFill>
                    <w14:schemeClr w14:val="tx1"/>
                  </w14:solidFill>
                </w14:textFill>
              </w:rPr>
              <w:t>建设单位应按照《排污许可证申请与核发技术规范</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医疗机构》（HJ1105-2020）及《医疗机构水污染物排放标准》（</w:t>
            </w:r>
            <w:r>
              <w:rPr>
                <w:color w:val="000000" w:themeColor="text1"/>
                <w:sz w:val="24"/>
                <w:szCs w:val="24"/>
                <w14:textFill>
                  <w14:solidFill>
                    <w14:schemeClr w14:val="tx1"/>
                  </w14:solidFill>
                </w14:textFill>
              </w:rPr>
              <w:t>GB18466- 2005</w:t>
            </w:r>
            <w:r>
              <w:rPr>
                <w:rFonts w:hint="eastAsia"/>
                <w:color w:val="000000" w:themeColor="text1"/>
                <w:sz w:val="24"/>
                <w:szCs w:val="24"/>
                <w14:textFill>
                  <w14:solidFill>
                    <w14:schemeClr w14:val="tx1"/>
                  </w14:solidFill>
                </w14:textFill>
              </w:rPr>
              <w:t>）相关要求开展自行监测，运营期环境</w:t>
            </w:r>
            <w:r>
              <w:rPr>
                <w:spacing w:val="-12"/>
                <w:sz w:val="24"/>
                <w:szCs w:val="24"/>
              </w:rPr>
              <w:t xml:space="preserve">监测计划见表 </w:t>
            </w:r>
            <w:r>
              <w:rPr>
                <w:rFonts w:hint="eastAsia"/>
                <w:spacing w:val="-12"/>
                <w:sz w:val="24"/>
                <w:szCs w:val="24"/>
              </w:rPr>
              <w:t>4-</w:t>
            </w:r>
            <w:r>
              <w:rPr>
                <w:spacing w:val="-12"/>
                <w:sz w:val="24"/>
                <w:szCs w:val="24"/>
              </w:rPr>
              <w:t>8</w:t>
            </w:r>
            <w:r>
              <w:rPr>
                <w:sz w:val="24"/>
                <w:szCs w:val="24"/>
              </w:rPr>
              <w:t>。</w:t>
            </w:r>
          </w:p>
          <w:p>
            <w:pPr>
              <w:pStyle w:val="6"/>
              <w:tabs>
                <w:tab w:val="left" w:pos="4272"/>
              </w:tabs>
              <w:spacing w:line="360" w:lineRule="auto"/>
              <w:ind w:firstLine="2650" w:firstLineChars="1100"/>
            </w:pPr>
            <w:r>
              <w:rPr>
                <w:rFonts w:hint="eastAsia"/>
              </w:rPr>
              <w:t>表4-</w:t>
            </w:r>
            <w:r>
              <w:t>8环境监测计划一览表</w:t>
            </w:r>
          </w:p>
          <w:tbl>
            <w:tblPr>
              <w:tblStyle w:val="27"/>
              <w:tblW w:w="7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5"/>
              <w:gridCol w:w="2526"/>
              <w:gridCol w:w="2162"/>
              <w:gridCol w:w="1854"/>
              <w:gridCol w:w="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1285"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类别</w:t>
                  </w:r>
                </w:p>
              </w:tc>
              <w:tc>
                <w:tcPr>
                  <w:tcW w:w="2526"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监测点位</w:t>
                  </w:r>
                </w:p>
              </w:tc>
              <w:tc>
                <w:tcPr>
                  <w:tcW w:w="2162"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监测因子</w:t>
                  </w:r>
                </w:p>
              </w:tc>
              <w:tc>
                <w:tcPr>
                  <w:tcW w:w="1948" w:type="dxa"/>
                  <w:gridSpan w:val="2"/>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460" w:hRule="atLeast"/>
                <w:jc w:val="center"/>
              </w:trPr>
              <w:tc>
                <w:tcPr>
                  <w:tcW w:w="1285" w:type="dxa"/>
                  <w:vMerge w:val="restart"/>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c>
              <w:tc>
                <w:tcPr>
                  <w:tcW w:w="2526" w:type="dxa"/>
                  <w:vMerge w:val="restart"/>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院区污水总排放口</w:t>
                  </w:r>
                </w:p>
              </w:tc>
              <w:tc>
                <w:tcPr>
                  <w:tcW w:w="2162"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流量</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自动连续监测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417" w:hRule="atLeast"/>
                <w:jc w:val="center"/>
              </w:trPr>
              <w:tc>
                <w:tcPr>
                  <w:tcW w:w="1285"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526"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162" w:type="dxa"/>
                  <w:tcBorders>
                    <w:tl2br w:val="nil"/>
                    <w:tr2bl w:val="nil"/>
                  </w:tcBorders>
                  <w:vAlign w:val="center"/>
                </w:tcPr>
                <w:p>
                  <w:pPr>
                    <w:autoSpaceDE w:val="0"/>
                    <w:autoSpaceDN w:val="0"/>
                    <w:adjustRightInd w:val="0"/>
                    <w:jc w:val="center"/>
                    <w:rPr>
                      <w:color w:val="000000" w:themeColor="text1"/>
                      <w14:textFill>
                        <w14:solidFill>
                          <w14:schemeClr w14:val="tx1"/>
                        </w14:solidFill>
                      </w14:textFill>
                    </w:rPr>
                  </w:pPr>
                  <w:r>
                    <w:rPr>
                      <w:color w:val="000000" w:themeColor="text1"/>
                      <w14:textFill>
                        <w14:solidFill>
                          <w14:schemeClr w14:val="tx1"/>
                        </w14:solidFill>
                      </w14:textFill>
                    </w:rPr>
                    <w:t>pH</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417" w:hRule="atLeast"/>
                <w:jc w:val="center"/>
              </w:trPr>
              <w:tc>
                <w:tcPr>
                  <w:tcW w:w="1285"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526"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162" w:type="dxa"/>
                  <w:tcBorders>
                    <w:tl2br w:val="nil"/>
                    <w:tr2bl w:val="nil"/>
                  </w:tcBorders>
                  <w:vAlign w:val="center"/>
                </w:tcPr>
                <w:p>
                  <w:pPr>
                    <w:autoSpaceDE w:val="0"/>
                    <w:autoSpaceDN w:val="0"/>
                    <w:adjustRightIn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粪大肠菌群数</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每月1次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507" w:hRule="atLeast"/>
                <w:jc w:val="center"/>
              </w:trPr>
              <w:tc>
                <w:tcPr>
                  <w:tcW w:w="1285"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526"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162"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化学需氧量、悬浮物</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每周1次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840" w:hRule="atLeast"/>
                <w:jc w:val="center"/>
              </w:trPr>
              <w:tc>
                <w:tcPr>
                  <w:tcW w:w="1285"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526" w:type="dxa"/>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2162" w:type="dxa"/>
                  <w:tcBorders>
                    <w:tl2br w:val="nil"/>
                    <w:tr2bl w:val="nil"/>
                  </w:tcBorders>
                  <w:vAlign w:val="center"/>
                </w:tcPr>
                <w:p>
                  <w:r>
                    <w:t>结核杆菌 、 五日生化需氧量、 石油类、 挥发酚、 动植物油、 阴离子表面活性剂、 总氰化物</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每季度1次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284" w:hRule="atLeast"/>
                <w:jc w:val="center"/>
              </w:trPr>
              <w:tc>
                <w:tcPr>
                  <w:tcW w:w="1285"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废气</w:t>
                  </w:r>
                </w:p>
              </w:tc>
              <w:tc>
                <w:tcPr>
                  <w:tcW w:w="2526"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污水处理站上、下风向分别布设3个监测点</w:t>
                  </w:r>
                </w:p>
              </w:tc>
              <w:tc>
                <w:tcPr>
                  <w:tcW w:w="2162"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氨、硫化氢、臭气浓度、甲烷</w:t>
                  </w:r>
                </w:p>
              </w:tc>
              <w:tc>
                <w:tcPr>
                  <w:tcW w:w="1854" w:type="dxa"/>
                  <w:tcBorders>
                    <w:tl2br w:val="nil"/>
                    <w:tr2bl w:val="nil"/>
                  </w:tcBorders>
                  <w:vAlign w:val="center"/>
                </w:tcPr>
                <w:p>
                  <w:pPr>
                    <w:autoSpaceDE w:val="0"/>
                    <w:autoSpaceDN w:val="0"/>
                    <w:adjustRightInd w:val="0"/>
                    <w:jc w:val="center"/>
                    <w:rPr>
                      <w:color w:val="000000" w:themeColor="text1"/>
                      <w14:textFill>
                        <w14:solidFill>
                          <w14:schemeClr w14:val="tx1"/>
                        </w14:solidFill>
                      </w14:textFill>
                    </w:rPr>
                  </w:pPr>
                  <w:r>
                    <w:rPr>
                      <w:rFonts w:hint="eastAsia"/>
                      <w:color w:val="000000" w:themeColor="text1"/>
                      <w:kern w:val="0"/>
                      <w14:textFill>
                        <w14:solidFill>
                          <w14:schemeClr w14:val="tx1"/>
                        </w14:solidFill>
                      </w14:textFill>
                    </w:rPr>
                    <w:t>每季度</w:t>
                  </w:r>
                  <w:r>
                    <w:rPr>
                      <w:color w:val="000000" w:themeColor="text1"/>
                      <w:kern w:val="0"/>
                      <w14:textFill>
                        <w14:solidFill>
                          <w14:schemeClr w14:val="tx1"/>
                        </w14:solidFill>
                      </w14:textFill>
                    </w:rPr>
                    <w:t>1</w:t>
                  </w:r>
                  <w:r>
                    <w:rPr>
                      <w:rFonts w:hint="eastAsia"/>
                      <w:color w:val="000000" w:themeColor="text1"/>
                      <w:kern w:val="0"/>
                      <w14:textFill>
                        <w14:solidFill>
                          <w14:schemeClr w14:val="tx1"/>
                        </w14:solidFill>
                      </w14:textFill>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284" w:hRule="atLeast"/>
                <w:jc w:val="center"/>
              </w:trPr>
              <w:tc>
                <w:tcPr>
                  <w:tcW w:w="1285"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c>
              <w:tc>
                <w:tcPr>
                  <w:tcW w:w="2526"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四周厂界</w:t>
                  </w:r>
                </w:p>
              </w:tc>
              <w:tc>
                <w:tcPr>
                  <w:tcW w:w="2162" w:type="dxa"/>
                  <w:tcBorders>
                    <w:tl2br w:val="nil"/>
                    <w:tr2bl w:val="nil"/>
                  </w:tcBorders>
                  <w:vAlign w:val="center"/>
                </w:tcPr>
                <w:p>
                  <w:pPr>
                    <w:adjustRightInd w:val="0"/>
                    <w:snapToGrid w:val="0"/>
                    <w:jc w:val="center"/>
                    <w:rPr>
                      <w:color w:val="000000" w:themeColor="text1"/>
                      <w:kern w:val="0"/>
                      <w14:textFill>
                        <w14:solidFill>
                          <w14:schemeClr w14:val="tx1"/>
                        </w14:solidFill>
                      </w14:textFill>
                    </w:rPr>
                  </w:pPr>
                  <w:r>
                    <w:rPr>
                      <w:rFonts w:hint="eastAsia"/>
                      <w:color w:val="000000" w:themeColor="text1"/>
                      <w14:textFill>
                        <w14:solidFill>
                          <w14:schemeClr w14:val="tx1"/>
                        </w14:solidFill>
                      </w14:textFill>
                    </w:rPr>
                    <w:t>等效连续A声级</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每季度1次，昼夜各1次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4" w:type="dxa"/>
                <w:trHeight w:val="284" w:hRule="atLeast"/>
                <w:jc w:val="center"/>
              </w:trPr>
              <w:tc>
                <w:tcPr>
                  <w:tcW w:w="1285"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固体废物</w:t>
                  </w:r>
                </w:p>
              </w:tc>
              <w:tc>
                <w:tcPr>
                  <w:tcW w:w="2526"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污水处理站污泥以及病区化粪池污泥</w:t>
                  </w:r>
                </w:p>
              </w:tc>
              <w:tc>
                <w:tcPr>
                  <w:tcW w:w="2162"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肠道病毒、肠道致病菌、粪大肠菌群数、蛔虫卵死亡率</w:t>
                  </w:r>
                </w:p>
              </w:tc>
              <w:tc>
                <w:tcPr>
                  <w:tcW w:w="1854" w:type="dxa"/>
                  <w:tcBorders>
                    <w:tl2br w:val="nil"/>
                    <w:tr2bl w:val="nil"/>
                  </w:tcBorders>
                  <w:vAlign w:val="center"/>
                </w:tcPr>
                <w:p>
                  <w:pPr>
                    <w:autoSpaceDE w:val="0"/>
                    <w:autoSpaceDN w:val="0"/>
                    <w:adjustRightInd w:val="0"/>
                    <w:jc w:val="center"/>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每次清掏前进行采样监测；</w:t>
                  </w:r>
                </w:p>
              </w:tc>
            </w:tr>
          </w:tbl>
          <w:p>
            <w:pPr>
              <w:spacing w:line="360" w:lineRule="auto"/>
              <w:rPr>
                <w:color w:val="000000"/>
              </w:rPr>
            </w:pPr>
          </w:p>
          <w:p>
            <w:pPr>
              <w:pStyle w:val="2"/>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ind w:left="0" w:leftChars="0" w:firstLine="0" w:firstLineChars="0"/>
            </w:pPr>
          </w:p>
          <w:p>
            <w:pPr>
              <w:pStyle w:val="4"/>
            </w:pPr>
          </w:p>
          <w:p>
            <w:pPr>
              <w:pStyle w:val="4"/>
            </w:pPr>
          </w:p>
          <w:p>
            <w:pPr>
              <w:pStyle w:val="4"/>
            </w:pPr>
          </w:p>
        </w:tc>
      </w:tr>
    </w:tbl>
    <w:p>
      <w:pPr>
        <w:pStyle w:val="25"/>
        <w:jc w:val="center"/>
        <w:outlineLvl w:val="0"/>
        <w:rPr>
          <w:rFonts w:cs="宋体"/>
          <w:b/>
          <w:color w:val="000000"/>
          <w:sz w:val="28"/>
          <w:szCs w:val="28"/>
        </w:rPr>
      </w:pPr>
      <w:r>
        <w:rPr>
          <w:rFonts w:hint="eastAsia" w:ascii="黑体" w:hAnsi="黑体" w:eastAsia="黑体"/>
          <w:snapToGrid w:val="0"/>
          <w:color w:val="000000"/>
          <w:sz w:val="30"/>
          <w:szCs w:val="30"/>
        </w:rPr>
        <w:t>五、</w:t>
      </w:r>
      <w:bookmarkStart w:id="7" w:name="_Hlk54167917"/>
      <w:r>
        <w:rPr>
          <w:rFonts w:hint="eastAsia" w:ascii="黑体" w:hAnsi="黑体" w:eastAsia="黑体"/>
          <w:snapToGrid w:val="0"/>
          <w:color w:val="000000"/>
          <w:sz w:val="30"/>
          <w:szCs w:val="30"/>
        </w:rPr>
        <w:t>环境保护措施监督检查清单</w:t>
      </w:r>
      <w:bookmarkEnd w:id="7"/>
    </w:p>
    <w:tbl>
      <w:tblPr>
        <w:tblStyle w:val="27"/>
        <w:tblW w:w="53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586"/>
        <w:gridCol w:w="1107"/>
        <w:gridCol w:w="2407"/>
        <w:gridCol w:w="36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71" w:type="pct"/>
            <w:tcBorders>
              <w:tl2br w:val="single" w:color="auto" w:sz="4" w:space="0"/>
            </w:tcBorders>
            <w:vAlign w:val="center"/>
          </w:tcPr>
          <w:p>
            <w:pPr>
              <w:adjustRightInd w:val="0"/>
              <w:snapToGrid w:val="0"/>
              <w:jc w:val="center"/>
              <w:rPr>
                <w:color w:val="000000"/>
              </w:rPr>
            </w:pPr>
            <w:r>
              <w:rPr>
                <w:color w:val="000000"/>
              </w:rPr>
              <w:t>内容</w:t>
            </w:r>
          </w:p>
          <w:p>
            <w:pPr>
              <w:adjustRightInd w:val="0"/>
              <w:snapToGrid w:val="0"/>
              <w:jc w:val="center"/>
              <w:rPr>
                <w:color w:val="000000"/>
              </w:rPr>
            </w:pPr>
            <w:r>
              <w:rPr>
                <w:color w:val="000000"/>
              </w:rPr>
              <w:t>要素</w:t>
            </w:r>
          </w:p>
        </w:tc>
        <w:tc>
          <w:tcPr>
            <w:tcW w:w="818" w:type="pct"/>
            <w:vAlign w:val="center"/>
          </w:tcPr>
          <w:p>
            <w:pPr>
              <w:adjustRightInd w:val="0"/>
              <w:snapToGrid w:val="0"/>
              <w:jc w:val="center"/>
              <w:rPr>
                <w:color w:val="000000"/>
              </w:rPr>
            </w:pPr>
            <w:r>
              <w:rPr>
                <w:color w:val="000000"/>
              </w:rPr>
              <w:t>排放口(编号、</w:t>
            </w:r>
          </w:p>
          <w:p>
            <w:pPr>
              <w:adjustRightInd w:val="0"/>
              <w:snapToGrid w:val="0"/>
              <w:jc w:val="center"/>
              <w:rPr>
                <w:color w:val="000000"/>
              </w:rPr>
            </w:pPr>
            <w:r>
              <w:rPr>
                <w:color w:val="000000"/>
              </w:rPr>
              <w:t>名称)/污染源</w:t>
            </w:r>
          </w:p>
        </w:tc>
        <w:tc>
          <w:tcPr>
            <w:tcW w:w="571" w:type="pct"/>
            <w:vAlign w:val="center"/>
          </w:tcPr>
          <w:p>
            <w:pPr>
              <w:adjustRightInd w:val="0"/>
              <w:snapToGrid w:val="0"/>
              <w:jc w:val="center"/>
              <w:rPr>
                <w:color w:val="000000"/>
              </w:rPr>
            </w:pPr>
            <w:r>
              <w:rPr>
                <w:color w:val="000000"/>
              </w:rPr>
              <w:t>污染物项目</w:t>
            </w:r>
          </w:p>
        </w:tc>
        <w:tc>
          <w:tcPr>
            <w:tcW w:w="1241" w:type="pct"/>
            <w:vAlign w:val="center"/>
          </w:tcPr>
          <w:p>
            <w:pPr>
              <w:adjustRightInd w:val="0"/>
              <w:snapToGrid w:val="0"/>
              <w:jc w:val="center"/>
              <w:rPr>
                <w:color w:val="000000"/>
              </w:rPr>
            </w:pPr>
            <w:r>
              <w:rPr>
                <w:color w:val="000000"/>
              </w:rPr>
              <w:t>环境保护措施</w:t>
            </w:r>
          </w:p>
        </w:tc>
        <w:tc>
          <w:tcPr>
            <w:tcW w:w="1897" w:type="pct"/>
            <w:vAlign w:val="center"/>
          </w:tcPr>
          <w:p>
            <w:pPr>
              <w:adjustRightInd w:val="0"/>
              <w:snapToGrid w:val="0"/>
              <w:jc w:val="center"/>
              <w:rPr>
                <w:color w:val="000000"/>
              </w:rPr>
            </w:pPr>
            <w:r>
              <w:rPr>
                <w:color w:val="000000"/>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51" w:hRule="atLeast"/>
          <w:jc w:val="center"/>
        </w:trPr>
        <w:tc>
          <w:tcPr>
            <w:tcW w:w="471" w:type="pct"/>
            <w:vMerge w:val="restart"/>
            <w:vAlign w:val="center"/>
          </w:tcPr>
          <w:p>
            <w:pPr>
              <w:adjustRightInd w:val="0"/>
              <w:snapToGrid w:val="0"/>
              <w:jc w:val="center"/>
              <w:rPr>
                <w:color w:val="000000"/>
              </w:rPr>
            </w:pPr>
            <w:r>
              <w:rPr>
                <w:color w:val="000000"/>
              </w:rPr>
              <w:t>大气环境</w:t>
            </w:r>
          </w:p>
        </w:tc>
        <w:tc>
          <w:tcPr>
            <w:tcW w:w="818" w:type="pct"/>
            <w:vAlign w:val="center"/>
          </w:tcPr>
          <w:p>
            <w:pPr>
              <w:adjustRightInd w:val="0"/>
              <w:snapToGrid w:val="0"/>
              <w:jc w:val="center"/>
              <w:rPr>
                <w:color w:val="000000"/>
              </w:rPr>
            </w:pPr>
            <w:r>
              <w:rPr>
                <w:color w:val="000000"/>
              </w:rPr>
              <w:t>污水处理站恶臭</w:t>
            </w:r>
          </w:p>
        </w:tc>
        <w:tc>
          <w:tcPr>
            <w:tcW w:w="571" w:type="pct"/>
            <w:vAlign w:val="center"/>
          </w:tcPr>
          <w:p>
            <w:pPr>
              <w:pStyle w:val="80"/>
              <w:rPr>
                <w:color w:val="000000"/>
              </w:rPr>
            </w:pPr>
            <w:r>
              <w:rPr>
                <w:color w:val="000000"/>
              </w:rPr>
              <w:t>氨气</w:t>
            </w:r>
          </w:p>
          <w:p>
            <w:pPr>
              <w:pStyle w:val="80"/>
              <w:rPr>
                <w:color w:val="000000"/>
              </w:rPr>
            </w:pPr>
            <w:r>
              <w:rPr>
                <w:color w:val="000000"/>
              </w:rPr>
              <w:t>硫化氢</w:t>
            </w:r>
          </w:p>
          <w:p>
            <w:pPr>
              <w:adjustRightInd w:val="0"/>
              <w:snapToGrid w:val="0"/>
              <w:jc w:val="center"/>
              <w:rPr>
                <w:color w:val="000000"/>
              </w:rPr>
            </w:pPr>
            <w:r>
              <w:rPr>
                <w:color w:val="000000"/>
              </w:rPr>
              <w:t>臭气浓度</w:t>
            </w:r>
          </w:p>
        </w:tc>
        <w:tc>
          <w:tcPr>
            <w:tcW w:w="1241" w:type="pct"/>
            <w:vAlign w:val="center"/>
          </w:tcPr>
          <w:p>
            <w:pPr>
              <w:adjustRightInd w:val="0"/>
              <w:snapToGrid w:val="0"/>
              <w:jc w:val="center"/>
              <w:rPr>
                <w:color w:val="000000"/>
              </w:rPr>
            </w:pPr>
            <w:r>
              <w:rPr>
                <w:color w:val="000000"/>
              </w:rPr>
              <w:t>恶臭气体</w:t>
            </w:r>
            <w:r>
              <w:rPr>
                <w:rFonts w:hint="eastAsia"/>
                <w:color w:val="000000"/>
              </w:rPr>
              <w:t>依托现有</w:t>
            </w:r>
            <w:r>
              <w:rPr>
                <w:color w:val="000000"/>
              </w:rPr>
              <w:t>臭气净化装置（采用生物法除臭+紫外线消毒）净化后，再通过风机引至主楼楼顶约4m高的排气筒排放</w:t>
            </w:r>
          </w:p>
        </w:tc>
        <w:tc>
          <w:tcPr>
            <w:tcW w:w="1897" w:type="pct"/>
            <w:vAlign w:val="center"/>
          </w:tcPr>
          <w:p>
            <w:pPr>
              <w:adjustRightInd w:val="0"/>
              <w:snapToGrid w:val="0"/>
              <w:jc w:val="center"/>
              <w:rPr>
                <w:color w:val="000000"/>
              </w:rPr>
            </w:pPr>
            <w:r>
              <w:t>《医疗机构水污染物排放标准》（GB 18466-2005）表3标准限值</w:t>
            </w:r>
            <w:r>
              <w:rPr>
                <w:rFonts w:hint="eastAsia"/>
              </w:rPr>
              <w:t>排放</w:t>
            </w:r>
            <w:r>
              <w:rPr>
                <w:color w:val="000000"/>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471" w:type="pct"/>
            <w:vMerge w:val="continue"/>
            <w:vAlign w:val="center"/>
          </w:tcPr>
          <w:p>
            <w:pPr>
              <w:adjustRightInd w:val="0"/>
              <w:snapToGrid w:val="0"/>
              <w:jc w:val="center"/>
            </w:pPr>
          </w:p>
        </w:tc>
        <w:tc>
          <w:tcPr>
            <w:tcW w:w="1389" w:type="pct"/>
            <w:gridSpan w:val="2"/>
            <w:vAlign w:val="center"/>
          </w:tcPr>
          <w:p>
            <w:pPr>
              <w:adjustRightInd w:val="0"/>
              <w:snapToGrid w:val="0"/>
              <w:jc w:val="center"/>
              <w:rPr>
                <w:color w:val="000000"/>
              </w:rPr>
            </w:pPr>
            <w:r>
              <w:rPr>
                <w:color w:val="000000"/>
              </w:rPr>
              <w:t>食堂油烟</w:t>
            </w:r>
          </w:p>
        </w:tc>
        <w:tc>
          <w:tcPr>
            <w:tcW w:w="1241" w:type="pct"/>
            <w:vAlign w:val="center"/>
          </w:tcPr>
          <w:p>
            <w:pPr>
              <w:adjustRightInd w:val="0"/>
              <w:snapToGrid w:val="0"/>
              <w:jc w:val="center"/>
              <w:rPr>
                <w:color w:val="000000"/>
              </w:rPr>
            </w:pPr>
            <w:r>
              <w:rPr>
                <w:rFonts w:hint="eastAsia"/>
                <w:color w:val="000000"/>
              </w:rPr>
              <w:t>油烟</w:t>
            </w:r>
            <w:r>
              <w:rPr>
                <w:rFonts w:hint="eastAsia"/>
              </w:rPr>
              <w:t>经现有油烟净化器处理后通过</w:t>
            </w:r>
            <w:r>
              <w:t>风机引至楼顶排放</w:t>
            </w:r>
          </w:p>
        </w:tc>
        <w:tc>
          <w:tcPr>
            <w:tcW w:w="1897" w:type="pct"/>
            <w:vAlign w:val="center"/>
          </w:tcPr>
          <w:p>
            <w:pPr>
              <w:adjustRightInd w:val="0"/>
              <w:snapToGrid w:val="0"/>
              <w:jc w:val="center"/>
              <w:rPr>
                <w:color w:val="000000"/>
              </w:rPr>
            </w:pPr>
            <w:r>
              <w:rPr>
                <w:color w:val="000000"/>
              </w:rPr>
              <w:t>《饮食业油烟排放标准（试行）》（GB18483-2001）≤2.0mg/m</w:t>
            </w:r>
            <w:r>
              <w:rPr>
                <w:color w:val="000000"/>
                <w:vertAlign w:val="superscript"/>
              </w:rPr>
              <w:t>3</w:t>
            </w:r>
            <w:r>
              <w:rPr>
                <w:color w:val="000000"/>
              </w:rPr>
              <w:t>的排放要求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471" w:type="pct"/>
            <w:vMerge w:val="continue"/>
            <w:vAlign w:val="center"/>
          </w:tcPr>
          <w:p>
            <w:pPr>
              <w:adjustRightInd w:val="0"/>
              <w:snapToGrid w:val="0"/>
              <w:jc w:val="center"/>
              <w:rPr>
                <w:color w:val="000000"/>
              </w:rPr>
            </w:pPr>
          </w:p>
        </w:tc>
        <w:tc>
          <w:tcPr>
            <w:tcW w:w="818" w:type="pct"/>
            <w:vAlign w:val="center"/>
          </w:tcPr>
          <w:p>
            <w:pPr>
              <w:adjustRightInd w:val="0"/>
              <w:snapToGrid w:val="0"/>
              <w:jc w:val="center"/>
              <w:rPr>
                <w:color w:val="000000"/>
              </w:rPr>
            </w:pPr>
            <w:r>
              <w:rPr>
                <w:color w:val="000000"/>
              </w:rPr>
              <w:t>汽车尾气（地下车库）</w:t>
            </w:r>
          </w:p>
        </w:tc>
        <w:tc>
          <w:tcPr>
            <w:tcW w:w="571" w:type="pct"/>
            <w:vAlign w:val="center"/>
          </w:tcPr>
          <w:p>
            <w:pPr>
              <w:pStyle w:val="80"/>
              <w:rPr>
                <w:color w:val="000000"/>
              </w:rPr>
            </w:pPr>
            <w:r>
              <w:rPr>
                <w:color w:val="000000"/>
              </w:rPr>
              <w:t>CO</w:t>
            </w:r>
          </w:p>
          <w:p>
            <w:pPr>
              <w:pStyle w:val="80"/>
              <w:rPr>
                <w:color w:val="000000"/>
              </w:rPr>
            </w:pPr>
            <w:r>
              <w:rPr>
                <w:color w:val="000000"/>
              </w:rPr>
              <w:t>HC</w:t>
            </w:r>
          </w:p>
          <w:p>
            <w:pPr>
              <w:adjustRightInd w:val="0"/>
              <w:snapToGrid w:val="0"/>
              <w:jc w:val="center"/>
              <w:rPr>
                <w:color w:val="000000"/>
              </w:rPr>
            </w:pPr>
            <w:r>
              <w:rPr>
                <w:color w:val="000000"/>
              </w:rPr>
              <w:t>NO</w:t>
            </w:r>
            <w:r>
              <w:rPr>
                <w:color w:val="000000"/>
                <w:vertAlign w:val="subscript"/>
              </w:rPr>
              <w:t>2</w:t>
            </w:r>
          </w:p>
        </w:tc>
        <w:tc>
          <w:tcPr>
            <w:tcW w:w="1241" w:type="pct"/>
            <w:vAlign w:val="center"/>
          </w:tcPr>
          <w:p>
            <w:pPr>
              <w:adjustRightInd w:val="0"/>
              <w:snapToGrid w:val="0"/>
              <w:jc w:val="center"/>
              <w:rPr>
                <w:color w:val="000000"/>
              </w:rPr>
            </w:pPr>
            <w:r>
              <w:rPr>
                <w:color w:val="000000"/>
              </w:rPr>
              <w:t>加强通风，无组织排放</w:t>
            </w:r>
          </w:p>
        </w:tc>
        <w:tc>
          <w:tcPr>
            <w:tcW w:w="1897" w:type="pct"/>
            <w:vAlign w:val="center"/>
          </w:tcPr>
          <w:p>
            <w:pPr>
              <w:adjustRightInd w:val="0"/>
              <w:snapToGrid w:val="0"/>
              <w:jc w:val="center"/>
              <w:rPr>
                <w:color w:val="000000"/>
              </w:rPr>
            </w:pPr>
            <w:r>
              <w:rPr>
                <w:rFonts w:hint="eastAsia"/>
                <w:color w:val="000000"/>
              </w:rPr>
              <w:t>广东省地方标准</w:t>
            </w:r>
            <w:r>
              <w:rPr>
                <w:color w:val="000000"/>
              </w:rPr>
              <w:t>《大气污染物排放限值》（DB44/27-2001）第二时段无组织排放标准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06" w:hRule="atLeast"/>
          <w:jc w:val="center"/>
        </w:trPr>
        <w:tc>
          <w:tcPr>
            <w:tcW w:w="471" w:type="pct"/>
            <w:vAlign w:val="center"/>
          </w:tcPr>
          <w:p>
            <w:pPr>
              <w:adjustRightInd w:val="0"/>
              <w:snapToGrid w:val="0"/>
              <w:jc w:val="center"/>
              <w:rPr>
                <w:color w:val="000000"/>
              </w:rPr>
            </w:pPr>
            <w:r>
              <w:rPr>
                <w:color w:val="000000"/>
              </w:rPr>
              <w:t>地表水环境</w:t>
            </w:r>
          </w:p>
        </w:tc>
        <w:tc>
          <w:tcPr>
            <w:tcW w:w="818" w:type="pct"/>
            <w:vAlign w:val="center"/>
          </w:tcPr>
          <w:p>
            <w:pPr>
              <w:adjustRightInd w:val="0"/>
              <w:snapToGrid w:val="0"/>
              <w:jc w:val="center"/>
              <w:rPr>
                <w:color w:val="000000"/>
              </w:rPr>
            </w:pPr>
            <w:r>
              <w:rPr>
                <w:color w:val="000000"/>
              </w:rPr>
              <w:t>医疗废水</w:t>
            </w:r>
          </w:p>
          <w:p>
            <w:pPr>
              <w:jc w:val="center"/>
              <w:rPr>
                <w:color w:val="000000"/>
              </w:rPr>
            </w:pPr>
            <w:r>
              <w:rPr>
                <w:color w:val="000000"/>
              </w:rPr>
              <w:t>食堂废水</w:t>
            </w:r>
          </w:p>
          <w:p>
            <w:pPr>
              <w:jc w:val="center"/>
              <w:rPr>
                <w:color w:val="000000"/>
              </w:rPr>
            </w:pPr>
            <w:r>
              <w:rPr>
                <w:color w:val="000000"/>
              </w:rPr>
              <w:t>生活废水</w:t>
            </w:r>
          </w:p>
        </w:tc>
        <w:tc>
          <w:tcPr>
            <w:tcW w:w="571" w:type="pct"/>
            <w:vAlign w:val="center"/>
          </w:tcPr>
          <w:p>
            <w:pPr>
              <w:pStyle w:val="80"/>
              <w:rPr>
                <w:color w:val="000000"/>
              </w:rPr>
            </w:pPr>
            <w:r>
              <w:rPr>
                <w:color w:val="000000"/>
              </w:rPr>
              <w:t>COD</w:t>
            </w:r>
          </w:p>
          <w:p>
            <w:pPr>
              <w:pStyle w:val="80"/>
              <w:rPr>
                <w:color w:val="000000"/>
              </w:rPr>
            </w:pPr>
            <w:r>
              <w:rPr>
                <w:color w:val="000000"/>
              </w:rPr>
              <w:t>BOD</w:t>
            </w:r>
            <w:r>
              <w:rPr>
                <w:color w:val="000000"/>
                <w:vertAlign w:val="subscript"/>
              </w:rPr>
              <w:t>5</w:t>
            </w:r>
          </w:p>
          <w:p>
            <w:pPr>
              <w:pStyle w:val="80"/>
              <w:rPr>
                <w:color w:val="000000"/>
              </w:rPr>
            </w:pPr>
            <w:r>
              <w:rPr>
                <w:color w:val="000000"/>
              </w:rPr>
              <w:t>SS</w:t>
            </w:r>
          </w:p>
          <w:p>
            <w:pPr>
              <w:pStyle w:val="80"/>
              <w:rPr>
                <w:color w:val="000000"/>
              </w:rPr>
            </w:pPr>
            <w:r>
              <w:rPr>
                <w:color w:val="000000"/>
              </w:rPr>
              <w:t>NH</w:t>
            </w:r>
            <w:r>
              <w:rPr>
                <w:color w:val="000000"/>
                <w:vertAlign w:val="subscript"/>
              </w:rPr>
              <w:t>3</w:t>
            </w:r>
            <w:r>
              <w:rPr>
                <w:color w:val="000000"/>
              </w:rPr>
              <w:t>-N</w:t>
            </w:r>
          </w:p>
          <w:p>
            <w:pPr>
              <w:pStyle w:val="80"/>
              <w:rPr>
                <w:color w:val="000000"/>
              </w:rPr>
            </w:pPr>
            <w:r>
              <w:rPr>
                <w:rFonts w:hint="eastAsia"/>
                <w:color w:val="000000"/>
              </w:rPr>
              <w:t>动植物油</w:t>
            </w:r>
          </w:p>
          <w:p>
            <w:pPr>
              <w:jc w:val="center"/>
              <w:rPr>
                <w:color w:val="000000"/>
              </w:rPr>
            </w:pPr>
            <w:r>
              <w:rPr>
                <w:color w:val="000000"/>
              </w:rPr>
              <w:t>粪大肠菌群数</w:t>
            </w:r>
          </w:p>
        </w:tc>
        <w:tc>
          <w:tcPr>
            <w:tcW w:w="1241" w:type="pct"/>
            <w:vAlign w:val="center"/>
          </w:tcPr>
          <w:p>
            <w:pPr>
              <w:jc w:val="center"/>
              <w:rPr>
                <w:color w:val="000000"/>
              </w:rPr>
            </w:pPr>
            <w:r>
              <w:rPr>
                <w:rFonts w:hint="eastAsia"/>
                <w:color w:val="000000"/>
              </w:rPr>
              <w:t>依托现有废水站处理，设计</w:t>
            </w:r>
            <w:r>
              <w:rPr>
                <w:color w:val="000000"/>
              </w:rPr>
              <w:t>处理能力为150m</w:t>
            </w:r>
            <w:r>
              <w:rPr>
                <w:color w:val="000000"/>
                <w:vertAlign w:val="superscript"/>
              </w:rPr>
              <w:t>3</w:t>
            </w:r>
            <w:r>
              <w:rPr>
                <w:color w:val="000000"/>
              </w:rPr>
              <w:t>/d</w:t>
            </w:r>
            <w:r>
              <w:rPr>
                <w:rFonts w:hint="eastAsia"/>
                <w:color w:val="000000"/>
              </w:rPr>
              <w:t>，采用</w:t>
            </w:r>
            <w:r>
              <w:rPr>
                <w:spacing w:val="-9"/>
              </w:rPr>
              <w:t xml:space="preserve">“预处理+A/O </w:t>
            </w:r>
            <w:r>
              <w:t>接触氧化生化+过滤+消毒”处</w:t>
            </w:r>
            <w:r>
              <w:rPr>
                <w:rFonts w:hint="eastAsia"/>
                <w:color w:val="000000"/>
              </w:rPr>
              <w:t>理</w:t>
            </w:r>
            <w:r>
              <w:rPr>
                <w:rFonts w:hint="eastAsia"/>
                <w:color w:val="000000"/>
              </w:rPr>
              <w:t>达标后排入</w:t>
            </w:r>
            <w:r>
              <w:rPr>
                <w:rFonts w:hint="eastAsia"/>
                <w:color w:val="000000"/>
                <w:sz w:val="21"/>
              </w:rPr>
              <w:t>连州市污水处理厂</w:t>
            </w:r>
          </w:p>
        </w:tc>
        <w:tc>
          <w:tcPr>
            <w:tcW w:w="1897" w:type="pct"/>
            <w:vAlign w:val="center"/>
          </w:tcPr>
          <w:p>
            <w:pPr>
              <w:rPr>
                <w:color w:val="000000"/>
              </w:rPr>
            </w:pPr>
            <w:r>
              <w:rPr>
                <w:color w:val="000000"/>
              </w:rPr>
              <w:t>《医疗机构水污染物排放标准》(GB18466-2005)表</w:t>
            </w:r>
            <w:r>
              <w:rPr>
                <w:rFonts w:hint="eastAsia"/>
                <w:color w:val="000000"/>
              </w:rPr>
              <w:t>1传染病、结核病医疗机构污染物标准值排放要求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471" w:type="pct"/>
            <w:vAlign w:val="center"/>
          </w:tcPr>
          <w:p>
            <w:pPr>
              <w:adjustRightInd w:val="0"/>
              <w:snapToGrid w:val="0"/>
              <w:jc w:val="center"/>
              <w:rPr>
                <w:color w:val="000000"/>
              </w:rPr>
            </w:pPr>
            <w:r>
              <w:rPr>
                <w:color w:val="000000"/>
              </w:rPr>
              <w:t>声环境</w:t>
            </w:r>
          </w:p>
        </w:tc>
        <w:tc>
          <w:tcPr>
            <w:tcW w:w="818" w:type="pct"/>
            <w:vAlign w:val="center"/>
          </w:tcPr>
          <w:p>
            <w:pPr>
              <w:adjustRightInd w:val="0"/>
              <w:snapToGrid w:val="0"/>
              <w:jc w:val="center"/>
              <w:rPr>
                <w:color w:val="000000"/>
              </w:rPr>
            </w:pPr>
            <w:r>
              <w:rPr>
                <w:color w:val="000000"/>
              </w:rPr>
              <w:t>设备装置</w:t>
            </w:r>
          </w:p>
        </w:tc>
        <w:tc>
          <w:tcPr>
            <w:tcW w:w="571" w:type="pct"/>
            <w:vAlign w:val="center"/>
          </w:tcPr>
          <w:p>
            <w:pPr>
              <w:adjustRightInd w:val="0"/>
              <w:snapToGrid w:val="0"/>
              <w:jc w:val="center"/>
              <w:rPr>
                <w:color w:val="000000"/>
              </w:rPr>
            </w:pPr>
            <w:r>
              <w:rPr>
                <w:color w:val="000000"/>
              </w:rPr>
              <w:t>噪声</w:t>
            </w:r>
          </w:p>
        </w:tc>
        <w:tc>
          <w:tcPr>
            <w:tcW w:w="1241" w:type="pct"/>
            <w:vAlign w:val="center"/>
          </w:tcPr>
          <w:p>
            <w:pPr>
              <w:adjustRightInd w:val="0"/>
              <w:snapToGrid w:val="0"/>
              <w:jc w:val="center"/>
              <w:rPr>
                <w:color w:val="000000"/>
              </w:rPr>
            </w:pPr>
            <w:r>
              <w:rPr>
                <w:color w:val="000000"/>
              </w:rPr>
              <w:t>选用低噪声设备，优化布局，采取减振、隔声等措施</w:t>
            </w:r>
          </w:p>
        </w:tc>
        <w:tc>
          <w:tcPr>
            <w:tcW w:w="1897" w:type="pct"/>
            <w:vAlign w:val="center"/>
          </w:tcPr>
          <w:p>
            <w:pPr>
              <w:adjustRightInd w:val="0"/>
              <w:snapToGrid w:val="0"/>
              <w:jc w:val="center"/>
              <w:rPr>
                <w:color w:val="000000"/>
              </w:rPr>
            </w:pPr>
            <w:r>
              <w:rPr>
                <w:color w:val="000000"/>
              </w:rPr>
              <w:t>《工业企业厂界环境噪声排放标准》(GB12348-2008)中的2类标准</w:t>
            </w:r>
          </w:p>
          <w:p>
            <w:pPr>
              <w:pStyle w:val="2"/>
              <w:jc w:val="center"/>
              <w:rPr>
                <w:rFonts w:ascii="Times New Roman" w:cs="Times New Roman"/>
                <w:sz w:val="21"/>
                <w:szCs w:val="21"/>
              </w:rPr>
            </w:pPr>
            <w:r>
              <w:rPr>
                <w:rFonts w:ascii="Times New Roman" w:cs="Times New Roman"/>
                <w:sz w:val="21"/>
                <w:szCs w:val="21"/>
              </w:rPr>
              <w:t>（即昼间≤60dB(A)、夜间≤50dB(A)）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71" w:type="pct"/>
            <w:vMerge w:val="restart"/>
            <w:vAlign w:val="center"/>
          </w:tcPr>
          <w:p>
            <w:pPr>
              <w:adjustRightInd w:val="0"/>
              <w:snapToGrid w:val="0"/>
              <w:jc w:val="center"/>
              <w:rPr>
                <w:color w:val="000000"/>
              </w:rPr>
            </w:pPr>
            <w:r>
              <w:rPr>
                <w:color w:val="000000"/>
              </w:rPr>
              <w:t>固体废物</w:t>
            </w:r>
          </w:p>
        </w:tc>
        <w:tc>
          <w:tcPr>
            <w:tcW w:w="818" w:type="pct"/>
            <w:vAlign w:val="center"/>
          </w:tcPr>
          <w:p>
            <w:pPr>
              <w:pStyle w:val="80"/>
              <w:rPr>
                <w:color w:val="000000"/>
              </w:rPr>
            </w:pPr>
            <w:r>
              <w:rPr>
                <w:color w:val="000000"/>
              </w:rPr>
              <w:t>生活垃圾</w:t>
            </w:r>
          </w:p>
        </w:tc>
        <w:tc>
          <w:tcPr>
            <w:tcW w:w="571" w:type="pct"/>
            <w:vAlign w:val="center"/>
          </w:tcPr>
          <w:p>
            <w:pPr>
              <w:pStyle w:val="80"/>
              <w:rPr>
                <w:color w:val="000000"/>
              </w:rPr>
            </w:pPr>
            <w:r>
              <w:rPr>
                <w:color w:val="000000"/>
              </w:rPr>
              <w:t>生活垃圾</w:t>
            </w:r>
          </w:p>
        </w:tc>
        <w:tc>
          <w:tcPr>
            <w:tcW w:w="1241" w:type="pct"/>
            <w:vAlign w:val="center"/>
          </w:tcPr>
          <w:p>
            <w:pPr>
              <w:pStyle w:val="80"/>
              <w:rPr>
                <w:color w:val="000000"/>
              </w:rPr>
            </w:pPr>
            <w:r>
              <w:rPr>
                <w:color w:val="000000"/>
              </w:rPr>
              <w:t>交由环卫部门处置</w:t>
            </w:r>
          </w:p>
        </w:tc>
        <w:tc>
          <w:tcPr>
            <w:tcW w:w="1897" w:type="pct"/>
            <w:vAlign w:val="center"/>
          </w:tcPr>
          <w:p>
            <w:pPr>
              <w:pStyle w:val="80"/>
              <w:rPr>
                <w:color w:val="000000"/>
              </w:rPr>
            </w:pPr>
            <w:r>
              <w:rPr>
                <w:rFonts w:hint="eastAsia"/>
                <w:color w:val="000000"/>
              </w:rPr>
              <w:t>符合环保要求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71" w:type="pct"/>
            <w:vMerge w:val="continue"/>
            <w:vAlign w:val="center"/>
          </w:tcPr>
          <w:p>
            <w:pPr>
              <w:tabs>
                <w:tab w:val="left" w:pos="872"/>
              </w:tabs>
              <w:adjustRightInd w:val="0"/>
              <w:snapToGrid w:val="0"/>
              <w:jc w:val="center"/>
            </w:pPr>
          </w:p>
        </w:tc>
        <w:tc>
          <w:tcPr>
            <w:tcW w:w="818" w:type="pct"/>
            <w:vAlign w:val="center"/>
          </w:tcPr>
          <w:p>
            <w:pPr>
              <w:pStyle w:val="80"/>
            </w:pPr>
            <w:r>
              <w:rPr>
                <w:color w:val="000000"/>
              </w:rPr>
              <w:t>医疗废物</w:t>
            </w:r>
          </w:p>
        </w:tc>
        <w:tc>
          <w:tcPr>
            <w:tcW w:w="571" w:type="pct"/>
            <w:vAlign w:val="center"/>
          </w:tcPr>
          <w:p>
            <w:pPr>
              <w:pStyle w:val="80"/>
            </w:pPr>
            <w:r>
              <w:rPr>
                <w:color w:val="000000"/>
              </w:rPr>
              <w:t>危险废物</w:t>
            </w:r>
          </w:p>
        </w:tc>
        <w:tc>
          <w:tcPr>
            <w:tcW w:w="1241" w:type="pct"/>
            <w:vAlign w:val="center"/>
          </w:tcPr>
          <w:p>
            <w:pPr>
              <w:pStyle w:val="80"/>
            </w:pPr>
            <w:r>
              <w:rPr>
                <w:color w:val="000000"/>
              </w:rPr>
              <w:t>交由与资质单位处置</w:t>
            </w:r>
          </w:p>
        </w:tc>
        <w:tc>
          <w:tcPr>
            <w:tcW w:w="1897" w:type="pct"/>
            <w:vAlign w:val="center"/>
          </w:tcPr>
          <w:p>
            <w:pPr>
              <w:pStyle w:val="80"/>
              <w:rPr>
                <w:color w:val="000000"/>
              </w:rPr>
            </w:pPr>
            <w:r>
              <w:rPr>
                <w:color w:val="000000"/>
              </w:rPr>
              <w:t>《危险废物贮存污染控制标准》（GB18597-2001）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71" w:type="pct"/>
            <w:vMerge w:val="continue"/>
            <w:vAlign w:val="center"/>
          </w:tcPr>
          <w:p>
            <w:pPr>
              <w:tabs>
                <w:tab w:val="left" w:pos="872"/>
              </w:tabs>
              <w:adjustRightInd w:val="0"/>
              <w:snapToGrid w:val="0"/>
              <w:jc w:val="center"/>
              <w:rPr>
                <w:color w:val="000000"/>
              </w:rPr>
            </w:pPr>
          </w:p>
        </w:tc>
        <w:tc>
          <w:tcPr>
            <w:tcW w:w="818" w:type="pct"/>
            <w:vAlign w:val="center"/>
          </w:tcPr>
          <w:p>
            <w:pPr>
              <w:pStyle w:val="80"/>
              <w:rPr>
                <w:color w:val="000000"/>
              </w:rPr>
            </w:pPr>
            <w:r>
              <w:rPr>
                <w:color w:val="000000"/>
              </w:rPr>
              <w:t>餐厨垃圾</w:t>
            </w:r>
          </w:p>
        </w:tc>
        <w:tc>
          <w:tcPr>
            <w:tcW w:w="571" w:type="pct"/>
            <w:vAlign w:val="center"/>
          </w:tcPr>
          <w:p>
            <w:pPr>
              <w:pStyle w:val="80"/>
              <w:rPr>
                <w:color w:val="000000"/>
              </w:rPr>
            </w:pPr>
            <w:r>
              <w:rPr>
                <w:color w:val="000000"/>
              </w:rPr>
              <w:t>餐厨垃圾</w:t>
            </w:r>
          </w:p>
        </w:tc>
        <w:tc>
          <w:tcPr>
            <w:tcW w:w="1241" w:type="pct"/>
            <w:vAlign w:val="center"/>
          </w:tcPr>
          <w:p>
            <w:pPr>
              <w:pStyle w:val="80"/>
              <w:rPr>
                <w:color w:val="000000"/>
              </w:rPr>
            </w:pPr>
            <w:r>
              <w:rPr>
                <w:color w:val="000000"/>
              </w:rPr>
              <w:t>交由餐厨</w:t>
            </w:r>
            <w:r>
              <w:rPr>
                <w:rFonts w:hint="eastAsia"/>
                <w:color w:val="000000"/>
              </w:rPr>
              <w:t>垃圾</w:t>
            </w:r>
            <w:r>
              <w:rPr>
                <w:color w:val="000000"/>
              </w:rPr>
              <w:t>处理单位处置</w:t>
            </w:r>
          </w:p>
        </w:tc>
        <w:tc>
          <w:tcPr>
            <w:tcW w:w="1897" w:type="pct"/>
            <w:vAlign w:val="center"/>
          </w:tcPr>
          <w:p>
            <w:pPr>
              <w:pStyle w:val="80"/>
              <w:rPr>
                <w:color w:val="000000"/>
              </w:rPr>
            </w:pPr>
            <w:r>
              <w:rPr>
                <w:rFonts w:hint="eastAsia"/>
                <w:color w:val="000000"/>
              </w:rPr>
              <w:t>符合环保要求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71" w:type="pct"/>
            <w:vMerge w:val="continue"/>
            <w:vAlign w:val="center"/>
          </w:tcPr>
          <w:p>
            <w:pPr>
              <w:tabs>
                <w:tab w:val="left" w:pos="872"/>
              </w:tabs>
              <w:adjustRightInd w:val="0"/>
              <w:snapToGrid w:val="0"/>
              <w:jc w:val="center"/>
              <w:rPr>
                <w:color w:val="000000"/>
              </w:rPr>
            </w:pPr>
          </w:p>
        </w:tc>
        <w:tc>
          <w:tcPr>
            <w:tcW w:w="818" w:type="pct"/>
            <w:vMerge w:val="restart"/>
            <w:vAlign w:val="center"/>
          </w:tcPr>
          <w:p>
            <w:pPr>
              <w:pStyle w:val="80"/>
              <w:rPr>
                <w:color w:val="000000"/>
              </w:rPr>
            </w:pPr>
            <w:r>
              <w:rPr>
                <w:color w:val="000000"/>
              </w:rPr>
              <w:t>污水处理站污泥</w:t>
            </w:r>
          </w:p>
        </w:tc>
        <w:tc>
          <w:tcPr>
            <w:tcW w:w="571" w:type="pct"/>
            <w:vMerge w:val="restart"/>
            <w:vAlign w:val="center"/>
          </w:tcPr>
          <w:p>
            <w:pPr>
              <w:pStyle w:val="80"/>
              <w:rPr>
                <w:color w:val="000000"/>
              </w:rPr>
            </w:pPr>
            <w:r>
              <w:rPr>
                <w:color w:val="000000"/>
              </w:rPr>
              <w:t>危险废物</w:t>
            </w:r>
          </w:p>
        </w:tc>
        <w:tc>
          <w:tcPr>
            <w:tcW w:w="1241" w:type="pct"/>
            <w:vMerge w:val="restart"/>
            <w:vAlign w:val="center"/>
          </w:tcPr>
          <w:p>
            <w:pPr>
              <w:pStyle w:val="80"/>
              <w:rPr>
                <w:color w:val="000000"/>
              </w:rPr>
            </w:pPr>
            <w:r>
              <w:rPr>
                <w:color w:val="000000"/>
              </w:rPr>
              <w:t>交由与资质单位处置</w:t>
            </w:r>
          </w:p>
        </w:tc>
        <w:tc>
          <w:tcPr>
            <w:tcW w:w="1897" w:type="pct"/>
            <w:vMerge w:val="restart"/>
            <w:vAlign w:val="center"/>
          </w:tcPr>
          <w:p>
            <w:pPr>
              <w:pStyle w:val="80"/>
              <w:rPr>
                <w:color w:val="000000"/>
              </w:rPr>
            </w:pPr>
            <w:r>
              <w:rPr>
                <w:color w:val="000000"/>
              </w:rPr>
              <w:t>《危险废物贮存污染控制标准》（GB18597-2001）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71" w:type="pct"/>
            <w:vMerge w:val="continue"/>
            <w:vAlign w:val="center"/>
          </w:tcPr>
          <w:p>
            <w:pPr>
              <w:tabs>
                <w:tab w:val="left" w:pos="872"/>
              </w:tabs>
              <w:adjustRightInd w:val="0"/>
              <w:snapToGrid w:val="0"/>
              <w:jc w:val="center"/>
              <w:rPr>
                <w:color w:val="000000"/>
              </w:rPr>
            </w:pPr>
          </w:p>
        </w:tc>
        <w:tc>
          <w:tcPr>
            <w:tcW w:w="818" w:type="pct"/>
            <w:vMerge w:val="continue"/>
            <w:vAlign w:val="center"/>
          </w:tcPr>
          <w:p>
            <w:pPr>
              <w:pStyle w:val="80"/>
              <w:rPr>
                <w:color w:val="000000"/>
              </w:rPr>
            </w:pPr>
          </w:p>
        </w:tc>
        <w:tc>
          <w:tcPr>
            <w:tcW w:w="571" w:type="pct"/>
            <w:vMerge w:val="continue"/>
            <w:vAlign w:val="center"/>
          </w:tcPr>
          <w:p>
            <w:pPr>
              <w:pStyle w:val="80"/>
              <w:rPr>
                <w:color w:val="000000"/>
              </w:rPr>
            </w:pPr>
          </w:p>
        </w:tc>
        <w:tc>
          <w:tcPr>
            <w:tcW w:w="1241" w:type="pct"/>
            <w:vMerge w:val="continue"/>
            <w:vAlign w:val="center"/>
          </w:tcPr>
          <w:p>
            <w:pPr>
              <w:pStyle w:val="80"/>
              <w:rPr>
                <w:color w:val="000000"/>
              </w:rPr>
            </w:pPr>
          </w:p>
        </w:tc>
        <w:tc>
          <w:tcPr>
            <w:tcW w:w="1897" w:type="pct"/>
            <w:vMerge w:val="continue"/>
            <w:vAlign w:val="center"/>
          </w:tcPr>
          <w:p>
            <w:pPr>
              <w:pStyle w:val="80"/>
              <w:rPr>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71" w:type="pct"/>
            <w:vMerge w:val="continue"/>
            <w:vAlign w:val="center"/>
          </w:tcPr>
          <w:p>
            <w:pPr>
              <w:tabs>
                <w:tab w:val="left" w:pos="872"/>
              </w:tabs>
              <w:adjustRightInd w:val="0"/>
              <w:snapToGrid w:val="0"/>
              <w:jc w:val="center"/>
              <w:rPr>
                <w:color w:val="000000"/>
              </w:rPr>
            </w:pPr>
          </w:p>
        </w:tc>
        <w:tc>
          <w:tcPr>
            <w:tcW w:w="818" w:type="pct"/>
            <w:vMerge w:val="continue"/>
            <w:vAlign w:val="center"/>
          </w:tcPr>
          <w:p>
            <w:pPr>
              <w:pStyle w:val="80"/>
              <w:rPr>
                <w:color w:val="000000"/>
              </w:rPr>
            </w:pPr>
          </w:p>
        </w:tc>
        <w:tc>
          <w:tcPr>
            <w:tcW w:w="571" w:type="pct"/>
            <w:vMerge w:val="continue"/>
            <w:vAlign w:val="center"/>
          </w:tcPr>
          <w:p>
            <w:pPr>
              <w:pStyle w:val="80"/>
              <w:rPr>
                <w:color w:val="000000"/>
              </w:rPr>
            </w:pPr>
          </w:p>
        </w:tc>
        <w:tc>
          <w:tcPr>
            <w:tcW w:w="1241" w:type="pct"/>
            <w:vMerge w:val="continue"/>
            <w:vAlign w:val="center"/>
          </w:tcPr>
          <w:p>
            <w:pPr>
              <w:pStyle w:val="80"/>
              <w:rPr>
                <w:color w:val="000000"/>
              </w:rPr>
            </w:pPr>
          </w:p>
        </w:tc>
        <w:tc>
          <w:tcPr>
            <w:tcW w:w="1897" w:type="pct"/>
            <w:vMerge w:val="continue"/>
            <w:vAlign w:val="center"/>
          </w:tcPr>
          <w:p>
            <w:pPr>
              <w:pStyle w:val="80"/>
              <w:rPr>
                <w:color w:val="000000"/>
              </w:rPr>
            </w:pPr>
          </w:p>
        </w:tc>
      </w:tr>
    </w:tbl>
    <w:p>
      <w:pPr>
        <w:pStyle w:val="15"/>
        <w:sectPr>
          <w:pgSz w:w="11907" w:h="16840"/>
          <w:pgMar w:top="1701" w:right="1531" w:bottom="2127" w:left="1531" w:header="851" w:footer="851" w:gutter="0"/>
          <w:cols w:space="720" w:num="1"/>
          <w:docGrid w:linePitch="312" w:charSpace="0"/>
        </w:sectPr>
      </w:pPr>
    </w:p>
    <w:p>
      <w:pPr>
        <w:pStyle w:val="25"/>
        <w:jc w:val="center"/>
        <w:outlineLvl w:val="0"/>
        <w:rPr>
          <w:rFonts w:ascii="黑体" w:hAnsi="黑体" w:eastAsia="黑体"/>
          <w:snapToGrid w:val="0"/>
          <w:color w:val="000000"/>
          <w:sz w:val="30"/>
          <w:szCs w:val="30"/>
        </w:rPr>
      </w:pPr>
      <w:r>
        <w:rPr>
          <w:rFonts w:hint="eastAsia" w:ascii="黑体" w:hAnsi="黑体" w:eastAsia="黑体"/>
          <w:snapToGrid w:val="0"/>
          <w:color w:val="000000"/>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8865" w:type="dxa"/>
            <w:vAlign w:val="center"/>
          </w:tcPr>
          <w:p>
            <w:pPr>
              <w:widowControl/>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lang w:bidi="ar"/>
              </w:rPr>
              <w:t>本项目</w:t>
            </w:r>
            <w:r>
              <w:rPr>
                <w:rFonts w:hint="eastAsia" w:ascii="宋体" w:hAnsi="宋体" w:cs="宋体"/>
                <w:sz w:val="24"/>
                <w:szCs w:val="24"/>
              </w:rPr>
              <w:t>连州市慢性病防治院精神康复综合楼建设项目</w:t>
            </w:r>
            <w:r>
              <w:rPr>
                <w:rFonts w:hint="eastAsia" w:ascii="宋体" w:hAnsi="宋体" w:cs="宋体"/>
                <w:color w:val="000000"/>
                <w:kern w:val="0"/>
                <w:sz w:val="24"/>
                <w:szCs w:val="24"/>
              </w:rPr>
              <w:t>符合国家产业政策和城市总体规划，项目在建设中和建成运行以后将产生一定程度的废气、废水、噪声及固体废物的污染，在严格采取本评价提出环保措施、实施环境管理与监测计划以后，项目对周围环境的影响可以控制在国家有关标准和要求的允许范围以内，产生的环境风险可以接受。同时，在切实落实本评价提出的各项污染防治措施，落实好项目“三同时”，做到各项污染物稳定达标排放情况下，从环境保护角度而言，扩建项目具有可行性。</w:t>
            </w:r>
          </w:p>
          <w:p>
            <w:pPr>
              <w:spacing w:line="360" w:lineRule="auto"/>
              <w:ind w:firstLine="466" w:firstLineChars="200"/>
              <w:rPr>
                <w:b/>
                <w:bCs/>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64" w:firstLineChars="200"/>
              <w:rPr>
                <w:color w:val="000000"/>
                <w:spacing w:val="-4"/>
                <w:sz w:val="24"/>
              </w:rPr>
            </w:pPr>
          </w:p>
          <w:p>
            <w:pPr>
              <w:spacing w:line="360" w:lineRule="auto"/>
              <w:ind w:firstLine="480" w:firstLineChars="200"/>
              <w:rPr>
                <w:color w:val="000000"/>
                <w:sz w:val="24"/>
              </w:rPr>
            </w:pPr>
          </w:p>
        </w:tc>
      </w:tr>
    </w:tbl>
    <w:p>
      <w:pPr>
        <w:rPr>
          <w:rFonts w:ascii="宋体"/>
          <w:color w:val="000000"/>
        </w:rPr>
        <w:sectPr>
          <w:pgSz w:w="11906" w:h="16838"/>
          <w:pgMar w:top="1701" w:right="1531" w:bottom="1701" w:left="1531" w:header="851" w:footer="851" w:gutter="0"/>
          <w:cols w:space="720" w:num="1"/>
          <w:docGrid w:linePitch="312" w:charSpace="0"/>
        </w:sectPr>
      </w:pPr>
    </w:p>
    <w:p>
      <w:pPr>
        <w:pStyle w:val="2"/>
        <w:sectPr>
          <w:type w:val="continuous"/>
          <w:pgSz w:w="11906" w:h="16838"/>
          <w:pgMar w:top="1701" w:right="1531" w:bottom="1701" w:left="1531" w:header="851" w:footer="851" w:gutter="0"/>
          <w:cols w:space="720" w:num="1"/>
          <w:docGrid w:linePitch="312" w:charSpace="0"/>
        </w:sectPr>
      </w:pPr>
    </w:p>
    <w:p>
      <w:pPr>
        <w:pStyle w:val="25"/>
        <w:adjustRightInd w:val="0"/>
        <w:snapToGrid w:val="0"/>
        <w:spacing w:before="0" w:beforeAutospacing="0" w:after="0" w:afterAutospacing="0" w:line="648" w:lineRule="auto"/>
        <w:outlineLvl w:val="0"/>
        <w:rPr>
          <w:rFonts w:ascii="黑体" w:hAnsi="黑体" w:eastAsia="黑体"/>
          <w:snapToGrid w:val="0"/>
          <w:color w:val="000000"/>
          <w:sz w:val="32"/>
          <w:szCs w:val="32"/>
        </w:rPr>
      </w:pPr>
      <w:r>
        <w:rPr>
          <w:rFonts w:hint="eastAsia" w:ascii="黑体" w:hAnsi="黑体" w:eastAsia="黑体"/>
          <w:snapToGrid w:val="0"/>
          <w:color w:val="000000"/>
          <w:sz w:val="32"/>
          <w:szCs w:val="32"/>
        </w:rPr>
        <w:t>附表</w:t>
      </w:r>
    </w:p>
    <w:p>
      <w:pPr>
        <w:pStyle w:val="25"/>
        <w:adjustRightInd w:val="0"/>
        <w:snapToGrid w:val="0"/>
        <w:spacing w:before="0" w:beforeAutospacing="0" w:after="0" w:afterAutospacing="0" w:line="480" w:lineRule="auto"/>
        <w:jc w:val="center"/>
        <w:outlineLvl w:val="0"/>
        <w:rPr>
          <w:rFonts w:ascii="方正小标宋_GBK" w:hAnsi="黑体" w:eastAsia="方正小标宋_GBK"/>
          <w:snapToGrid w:val="0"/>
          <w:color w:val="000000"/>
          <w:sz w:val="38"/>
          <w:szCs w:val="38"/>
        </w:rPr>
      </w:pPr>
      <w:r>
        <w:rPr>
          <w:rFonts w:hint="eastAsia" w:ascii="方正小标宋_GBK" w:hAnsi="黑体" w:eastAsia="方正小标宋_GBK"/>
          <w:snapToGrid w:val="0"/>
          <w:color w:val="000000"/>
          <w:sz w:val="38"/>
          <w:szCs w:val="38"/>
        </w:rPr>
        <w:t>建设项目污染物排放量汇总表</w:t>
      </w:r>
    </w:p>
    <w:tbl>
      <w:tblPr>
        <w:tblStyle w:val="27"/>
        <w:tblW w:w="507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3"/>
        <w:gridCol w:w="1100"/>
        <w:gridCol w:w="1286"/>
        <w:gridCol w:w="1472"/>
        <w:gridCol w:w="1207"/>
        <w:gridCol w:w="1412"/>
        <w:gridCol w:w="1708"/>
        <w:gridCol w:w="1412"/>
        <w:gridCol w:w="1822"/>
        <w:gridCol w:w="16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23" w:type="pct"/>
            <w:gridSpan w:val="2"/>
            <w:tcBorders>
              <w:tl2br w:val="single" w:color="auto" w:sz="4" w:space="0"/>
            </w:tcBorders>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hint="eastAsia" w:ascii="Times New Roman" w:eastAsia="宋体"/>
                <w:snapToGrid w:val="0"/>
                <w:color w:val="000000"/>
                <w:spacing w:val="-6"/>
                <w:kern w:val="21"/>
                <w:szCs w:val="21"/>
              </w:rPr>
              <w:t xml:space="preserve">   </w:t>
            </w:r>
            <w:r>
              <w:rPr>
                <w:rFonts w:ascii="Times New Roman" w:eastAsia="宋体"/>
                <w:snapToGrid w:val="0"/>
                <w:color w:val="000000"/>
                <w:spacing w:val="-6"/>
                <w:kern w:val="21"/>
                <w:szCs w:val="21"/>
              </w:rPr>
              <w:t>项目</w:t>
            </w:r>
          </w:p>
          <w:p>
            <w:pPr>
              <w:pStyle w:val="55"/>
              <w:spacing w:beforeLines="0" w:afterLines="0" w:line="240" w:lineRule="auto"/>
              <w:ind w:firstLine="198" w:firstLineChars="100"/>
              <w:jc w:val="both"/>
              <w:rPr>
                <w:rFonts w:ascii="Times New Roman" w:eastAsia="宋体"/>
                <w:snapToGrid w:val="0"/>
                <w:color w:val="000000"/>
                <w:spacing w:val="-6"/>
                <w:kern w:val="21"/>
                <w:szCs w:val="21"/>
              </w:rPr>
            </w:pPr>
            <w:r>
              <w:rPr>
                <w:rFonts w:ascii="Times New Roman" w:eastAsia="宋体"/>
                <w:snapToGrid w:val="0"/>
                <w:color w:val="000000"/>
                <w:spacing w:val="-6"/>
                <w:kern w:val="21"/>
                <w:szCs w:val="21"/>
              </w:rPr>
              <w:t>分类</w:t>
            </w:r>
          </w:p>
        </w:tc>
        <w:tc>
          <w:tcPr>
            <w:tcW w:w="470"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污染物名称</w:t>
            </w:r>
          </w:p>
        </w:tc>
        <w:tc>
          <w:tcPr>
            <w:tcW w:w="538"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现有工程</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排放量（固体废物产生量）</w:t>
            </w:r>
            <w:r>
              <w:rPr>
                <w:rFonts w:ascii="Times New Roman" w:eastAsia="宋体"/>
                <w:snapToGrid w:val="0"/>
                <w:color w:val="000000"/>
                <w:spacing w:val="-6"/>
                <w:kern w:val="21"/>
                <w:szCs w:val="21"/>
              </w:rPr>
              <w:fldChar w:fldCharType="begin"/>
            </w:r>
            <w:r>
              <w:rPr>
                <w:rFonts w:ascii="Times New Roman" w:eastAsia="宋体"/>
                <w:snapToGrid w:val="0"/>
                <w:color w:val="000000"/>
                <w:spacing w:val="-6"/>
                <w:kern w:val="21"/>
                <w:szCs w:val="21"/>
              </w:rPr>
              <w:instrText xml:space="preserve"> = 1 \* GB3 \* MERGEFORMAT </w:instrText>
            </w:r>
            <w:r>
              <w:rPr>
                <w:rFonts w:ascii="Times New Roman" w:eastAsia="宋体"/>
                <w:snapToGrid w:val="0"/>
                <w:color w:val="000000"/>
                <w:spacing w:val="-6"/>
                <w:kern w:val="21"/>
                <w:szCs w:val="21"/>
              </w:rPr>
              <w:fldChar w:fldCharType="separate"/>
            </w:r>
            <w:r>
              <w:rPr>
                <w:rFonts w:ascii="Times New Roman" w:eastAsia="宋体"/>
                <w:color w:val="000000"/>
                <w:kern w:val="2"/>
                <w:szCs w:val="21"/>
              </w:rPr>
              <w:t>①</w:t>
            </w:r>
            <w:r>
              <w:rPr>
                <w:rFonts w:ascii="Times New Roman" w:eastAsia="宋体"/>
                <w:snapToGrid w:val="0"/>
                <w:color w:val="000000"/>
                <w:spacing w:val="-6"/>
                <w:kern w:val="21"/>
                <w:szCs w:val="21"/>
              </w:rPr>
              <w:fldChar w:fldCharType="end"/>
            </w:r>
          </w:p>
        </w:tc>
        <w:tc>
          <w:tcPr>
            <w:tcW w:w="441"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现有工程</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许可排放量</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fldChar w:fldCharType="begin"/>
            </w:r>
            <w:r>
              <w:rPr>
                <w:rFonts w:ascii="Times New Roman" w:eastAsia="宋体"/>
                <w:snapToGrid w:val="0"/>
                <w:color w:val="000000"/>
                <w:spacing w:val="-6"/>
                <w:kern w:val="21"/>
                <w:szCs w:val="21"/>
              </w:rPr>
              <w:instrText xml:space="preserve"> = 2 \* GB3 \* MERGEFORMAT </w:instrText>
            </w:r>
            <w:r>
              <w:rPr>
                <w:rFonts w:ascii="Times New Roman" w:eastAsia="宋体"/>
                <w:snapToGrid w:val="0"/>
                <w:color w:val="000000"/>
                <w:spacing w:val="-6"/>
                <w:kern w:val="21"/>
                <w:szCs w:val="21"/>
              </w:rPr>
              <w:fldChar w:fldCharType="separate"/>
            </w:r>
            <w:r>
              <w:rPr>
                <w:rFonts w:ascii="Times New Roman" w:eastAsia="宋体"/>
                <w:snapToGrid w:val="0"/>
                <w:color w:val="000000"/>
                <w:spacing w:val="-6"/>
                <w:kern w:val="21"/>
                <w:szCs w:val="21"/>
              </w:rPr>
              <w:t>②</w:t>
            </w:r>
            <w:r>
              <w:rPr>
                <w:rFonts w:ascii="Times New Roman" w:eastAsia="宋体"/>
                <w:snapToGrid w:val="0"/>
                <w:color w:val="000000"/>
                <w:spacing w:val="-6"/>
                <w:kern w:val="21"/>
                <w:szCs w:val="21"/>
              </w:rPr>
              <w:fldChar w:fldCharType="end"/>
            </w:r>
          </w:p>
        </w:tc>
        <w:tc>
          <w:tcPr>
            <w:tcW w:w="516"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在建工程</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排放量（固体废物产生量）</w:t>
            </w:r>
            <w:r>
              <w:rPr>
                <w:rFonts w:ascii="Times New Roman" w:eastAsia="宋体"/>
                <w:snapToGrid w:val="0"/>
                <w:color w:val="000000"/>
                <w:spacing w:val="-6"/>
                <w:kern w:val="21"/>
                <w:szCs w:val="21"/>
              </w:rPr>
              <w:fldChar w:fldCharType="begin"/>
            </w:r>
            <w:r>
              <w:rPr>
                <w:rFonts w:ascii="Times New Roman" w:eastAsia="宋体"/>
                <w:snapToGrid w:val="0"/>
                <w:color w:val="000000"/>
                <w:spacing w:val="-6"/>
                <w:kern w:val="21"/>
                <w:szCs w:val="21"/>
              </w:rPr>
              <w:instrText xml:space="preserve"> = 3 \* GB3 \* MERGEFORMAT </w:instrText>
            </w:r>
            <w:r>
              <w:rPr>
                <w:rFonts w:ascii="Times New Roman" w:eastAsia="宋体"/>
                <w:snapToGrid w:val="0"/>
                <w:color w:val="000000"/>
                <w:spacing w:val="-6"/>
                <w:kern w:val="21"/>
                <w:szCs w:val="21"/>
              </w:rPr>
              <w:fldChar w:fldCharType="separate"/>
            </w:r>
            <w:r>
              <w:rPr>
                <w:rFonts w:ascii="Times New Roman" w:eastAsia="宋体"/>
                <w:color w:val="000000"/>
                <w:kern w:val="2"/>
                <w:szCs w:val="21"/>
              </w:rPr>
              <w:t>③</w:t>
            </w:r>
            <w:r>
              <w:rPr>
                <w:rFonts w:ascii="Times New Roman" w:eastAsia="宋体"/>
                <w:snapToGrid w:val="0"/>
                <w:color w:val="000000"/>
                <w:spacing w:val="-6"/>
                <w:kern w:val="21"/>
                <w:szCs w:val="21"/>
              </w:rPr>
              <w:fldChar w:fldCharType="end"/>
            </w:r>
          </w:p>
        </w:tc>
        <w:tc>
          <w:tcPr>
            <w:tcW w:w="624"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本项目</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排放量（固体废物产生量）</w:t>
            </w:r>
            <w:r>
              <w:rPr>
                <w:rFonts w:ascii="Times New Roman" w:eastAsia="宋体"/>
                <w:snapToGrid w:val="0"/>
                <w:color w:val="000000"/>
                <w:spacing w:val="-6"/>
                <w:kern w:val="21"/>
                <w:szCs w:val="21"/>
              </w:rPr>
              <w:fldChar w:fldCharType="begin"/>
            </w:r>
            <w:r>
              <w:rPr>
                <w:rFonts w:ascii="Times New Roman" w:eastAsia="宋体"/>
                <w:snapToGrid w:val="0"/>
                <w:color w:val="000000"/>
                <w:spacing w:val="-6"/>
                <w:kern w:val="21"/>
                <w:szCs w:val="21"/>
              </w:rPr>
              <w:instrText xml:space="preserve"> = 4 \* GB3 \* MERGEFORMAT </w:instrText>
            </w:r>
            <w:r>
              <w:rPr>
                <w:rFonts w:ascii="Times New Roman" w:eastAsia="宋体"/>
                <w:snapToGrid w:val="0"/>
                <w:color w:val="000000"/>
                <w:spacing w:val="-6"/>
                <w:kern w:val="21"/>
                <w:szCs w:val="21"/>
              </w:rPr>
              <w:fldChar w:fldCharType="separate"/>
            </w:r>
            <w:r>
              <w:rPr>
                <w:rFonts w:ascii="Times New Roman" w:eastAsia="宋体"/>
                <w:color w:val="000000"/>
                <w:kern w:val="2"/>
                <w:szCs w:val="21"/>
              </w:rPr>
              <w:t>④</w:t>
            </w:r>
            <w:r>
              <w:rPr>
                <w:rFonts w:ascii="Times New Roman" w:eastAsia="宋体"/>
                <w:snapToGrid w:val="0"/>
                <w:color w:val="000000"/>
                <w:spacing w:val="-6"/>
                <w:kern w:val="21"/>
                <w:szCs w:val="21"/>
              </w:rPr>
              <w:fldChar w:fldCharType="end"/>
            </w:r>
          </w:p>
        </w:tc>
        <w:tc>
          <w:tcPr>
            <w:tcW w:w="516"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16"/>
                <w:kern w:val="21"/>
                <w:szCs w:val="21"/>
              </w:rPr>
            </w:pPr>
            <w:r>
              <w:rPr>
                <w:rFonts w:ascii="Times New Roman" w:eastAsia="宋体"/>
                <w:snapToGrid w:val="0"/>
                <w:color w:val="000000"/>
                <w:spacing w:val="-16"/>
                <w:kern w:val="21"/>
                <w:szCs w:val="21"/>
              </w:rPr>
              <w:t>以新带老削减量</w:t>
            </w:r>
          </w:p>
          <w:p>
            <w:pPr>
              <w:pStyle w:val="55"/>
              <w:spacing w:beforeLines="0" w:afterLines="0" w:line="240" w:lineRule="auto"/>
              <w:ind w:firstLine="0"/>
              <w:rPr>
                <w:rFonts w:ascii="Times New Roman" w:eastAsia="宋体"/>
                <w:snapToGrid w:val="0"/>
                <w:color w:val="000000"/>
                <w:spacing w:val="-16"/>
                <w:kern w:val="21"/>
                <w:szCs w:val="21"/>
              </w:rPr>
            </w:pPr>
            <w:r>
              <w:rPr>
                <w:rFonts w:ascii="Times New Roman" w:eastAsia="宋体"/>
                <w:snapToGrid w:val="0"/>
                <w:color w:val="000000"/>
                <w:spacing w:val="-16"/>
                <w:kern w:val="21"/>
                <w:szCs w:val="21"/>
              </w:rPr>
              <w:t>（新建项目不填）</w:t>
            </w:r>
            <w:r>
              <w:rPr>
                <w:rFonts w:ascii="Times New Roman" w:eastAsia="宋体"/>
                <w:snapToGrid w:val="0"/>
                <w:color w:val="000000"/>
                <w:spacing w:val="-16"/>
                <w:kern w:val="21"/>
                <w:szCs w:val="21"/>
              </w:rPr>
              <w:fldChar w:fldCharType="begin"/>
            </w:r>
            <w:r>
              <w:rPr>
                <w:rFonts w:ascii="Times New Roman" w:eastAsia="宋体"/>
                <w:snapToGrid w:val="0"/>
                <w:color w:val="000000"/>
                <w:spacing w:val="-16"/>
                <w:kern w:val="21"/>
                <w:szCs w:val="21"/>
              </w:rPr>
              <w:instrText xml:space="preserve"> = 5 \* GB3 \* MERGEFORMAT </w:instrText>
            </w:r>
            <w:r>
              <w:rPr>
                <w:rFonts w:ascii="Times New Roman" w:eastAsia="宋体"/>
                <w:snapToGrid w:val="0"/>
                <w:color w:val="000000"/>
                <w:spacing w:val="-16"/>
                <w:kern w:val="21"/>
                <w:szCs w:val="21"/>
              </w:rPr>
              <w:fldChar w:fldCharType="separate"/>
            </w:r>
            <w:r>
              <w:rPr>
                <w:rFonts w:ascii="Times New Roman" w:eastAsia="宋体"/>
                <w:color w:val="000000"/>
                <w:kern w:val="2"/>
                <w:szCs w:val="21"/>
              </w:rPr>
              <w:t>⑤</w:t>
            </w:r>
            <w:r>
              <w:rPr>
                <w:rFonts w:ascii="Times New Roman" w:eastAsia="宋体"/>
                <w:snapToGrid w:val="0"/>
                <w:color w:val="000000"/>
                <w:spacing w:val="-16"/>
                <w:kern w:val="21"/>
                <w:szCs w:val="21"/>
              </w:rPr>
              <w:fldChar w:fldCharType="end"/>
            </w:r>
          </w:p>
        </w:tc>
        <w:tc>
          <w:tcPr>
            <w:tcW w:w="666"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16"/>
                <w:kern w:val="21"/>
                <w:szCs w:val="21"/>
              </w:rPr>
            </w:pPr>
            <w:r>
              <w:rPr>
                <w:rFonts w:ascii="Times New Roman" w:eastAsia="宋体"/>
                <w:snapToGrid w:val="0"/>
                <w:color w:val="000000"/>
                <w:spacing w:val="-16"/>
                <w:kern w:val="21"/>
                <w:szCs w:val="21"/>
              </w:rPr>
              <w:t>本项目建成后</w:t>
            </w:r>
          </w:p>
          <w:p>
            <w:pPr>
              <w:pStyle w:val="55"/>
              <w:spacing w:beforeLines="0" w:afterLines="0" w:line="240" w:lineRule="auto"/>
              <w:ind w:firstLine="0"/>
              <w:rPr>
                <w:rFonts w:ascii="Times New Roman" w:eastAsia="宋体"/>
                <w:snapToGrid w:val="0"/>
                <w:color w:val="000000"/>
                <w:spacing w:val="-16"/>
                <w:kern w:val="21"/>
                <w:szCs w:val="21"/>
              </w:rPr>
            </w:pPr>
            <w:r>
              <w:rPr>
                <w:rFonts w:ascii="Times New Roman" w:eastAsia="宋体"/>
                <w:snapToGrid w:val="0"/>
                <w:color w:val="000000"/>
                <w:spacing w:val="-16"/>
                <w:kern w:val="21"/>
                <w:szCs w:val="21"/>
              </w:rPr>
              <w:t>全厂排放量（固体废物产生量）</w:t>
            </w:r>
            <w:r>
              <w:rPr>
                <w:rFonts w:ascii="Times New Roman" w:eastAsia="宋体"/>
                <w:snapToGrid w:val="0"/>
                <w:color w:val="000000"/>
                <w:spacing w:val="-16"/>
                <w:kern w:val="21"/>
                <w:szCs w:val="21"/>
              </w:rPr>
              <w:fldChar w:fldCharType="begin"/>
            </w:r>
            <w:r>
              <w:rPr>
                <w:rFonts w:ascii="Times New Roman" w:eastAsia="宋体"/>
                <w:snapToGrid w:val="0"/>
                <w:color w:val="000000"/>
                <w:spacing w:val="-16"/>
                <w:kern w:val="21"/>
                <w:szCs w:val="21"/>
              </w:rPr>
              <w:instrText xml:space="preserve"> = 6 \* GB3 \* MERGEFORMAT </w:instrText>
            </w:r>
            <w:r>
              <w:rPr>
                <w:rFonts w:ascii="Times New Roman" w:eastAsia="宋体"/>
                <w:snapToGrid w:val="0"/>
                <w:color w:val="000000"/>
                <w:spacing w:val="-16"/>
                <w:kern w:val="21"/>
                <w:szCs w:val="21"/>
              </w:rPr>
              <w:fldChar w:fldCharType="separate"/>
            </w:r>
            <w:r>
              <w:rPr>
                <w:rFonts w:ascii="Times New Roman" w:eastAsia="宋体"/>
                <w:color w:val="000000"/>
                <w:kern w:val="2"/>
                <w:szCs w:val="21"/>
              </w:rPr>
              <w:t>⑥</w:t>
            </w:r>
            <w:r>
              <w:rPr>
                <w:rFonts w:ascii="Times New Roman" w:eastAsia="宋体"/>
                <w:snapToGrid w:val="0"/>
                <w:color w:val="000000"/>
                <w:spacing w:val="-16"/>
                <w:kern w:val="21"/>
                <w:szCs w:val="21"/>
              </w:rPr>
              <w:fldChar w:fldCharType="end"/>
            </w:r>
          </w:p>
        </w:tc>
        <w:tc>
          <w:tcPr>
            <w:tcW w:w="606" w:type="pct"/>
            <w:tcMar>
              <w:left w:w="28" w:type="dxa"/>
              <w:right w:w="28" w:type="dxa"/>
            </w:tcMar>
            <w:vAlign w:val="center"/>
          </w:tcPr>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t>变化量</w:t>
            </w:r>
          </w:p>
          <w:p>
            <w:pPr>
              <w:pStyle w:val="55"/>
              <w:spacing w:beforeLines="0" w:afterLines="0" w:line="240" w:lineRule="auto"/>
              <w:ind w:firstLine="0"/>
              <w:rPr>
                <w:rFonts w:ascii="Times New Roman" w:eastAsia="宋体"/>
                <w:snapToGrid w:val="0"/>
                <w:color w:val="000000"/>
                <w:spacing w:val="-6"/>
                <w:kern w:val="21"/>
                <w:szCs w:val="21"/>
              </w:rPr>
            </w:pPr>
            <w:r>
              <w:rPr>
                <w:rFonts w:ascii="Times New Roman" w:eastAsia="宋体"/>
                <w:snapToGrid w:val="0"/>
                <w:color w:val="000000"/>
                <w:spacing w:val="-6"/>
                <w:kern w:val="21"/>
                <w:szCs w:val="21"/>
              </w:rPr>
              <w:fldChar w:fldCharType="begin"/>
            </w:r>
            <w:r>
              <w:rPr>
                <w:rFonts w:ascii="Times New Roman" w:eastAsia="宋体"/>
                <w:snapToGrid w:val="0"/>
                <w:color w:val="000000"/>
                <w:spacing w:val="-6"/>
                <w:kern w:val="21"/>
                <w:szCs w:val="21"/>
              </w:rPr>
              <w:instrText xml:space="preserve"> = 7 \* GB3 \* MERGEFORMAT </w:instrText>
            </w:r>
            <w:r>
              <w:rPr>
                <w:rFonts w:ascii="Times New Roman" w:eastAsia="宋体"/>
                <w:snapToGrid w:val="0"/>
                <w:color w:val="000000"/>
                <w:spacing w:val="-6"/>
                <w:kern w:val="21"/>
                <w:szCs w:val="21"/>
              </w:rPr>
              <w:fldChar w:fldCharType="separate"/>
            </w:r>
            <w:r>
              <w:rPr>
                <w:rFonts w:ascii="Times New Roman" w:eastAsia="宋体"/>
                <w:color w:val="000000"/>
                <w:kern w:val="2"/>
                <w:szCs w:val="21"/>
              </w:rPr>
              <w:t>⑦</w:t>
            </w:r>
            <w:r>
              <w:rPr>
                <w:rFonts w:ascii="Times New Roman" w:eastAsia="宋体"/>
                <w:snapToGrid w:val="0"/>
                <w:color w:val="00000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2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废气</w:t>
            </w:r>
          </w:p>
        </w:tc>
        <w:tc>
          <w:tcPr>
            <w:tcW w:w="872" w:type="pct"/>
            <w:gridSpan w:val="2"/>
            <w:vAlign w:val="center"/>
          </w:tcPr>
          <w:p>
            <w:pPr>
              <w:adjustRightInd w:val="0"/>
              <w:snapToGrid w:val="0"/>
              <w:jc w:val="center"/>
              <w:rPr>
                <w:snapToGrid w:val="0"/>
                <w:color w:val="000000"/>
                <w:kern w:val="21"/>
              </w:rPr>
            </w:pPr>
            <w:r>
              <w:rPr>
                <w:color w:val="000000"/>
              </w:rPr>
              <w:t>食堂油烟</w:t>
            </w:r>
          </w:p>
        </w:tc>
        <w:tc>
          <w:tcPr>
            <w:tcW w:w="538"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w:t>
            </w:r>
          </w:p>
        </w:tc>
        <w:tc>
          <w:tcPr>
            <w:tcW w:w="441" w:type="pct"/>
            <w:vAlign w:val="center"/>
          </w:tcPr>
          <w:p>
            <w:pPr>
              <w:pStyle w:val="63"/>
              <w:spacing w:line="240" w:lineRule="auto"/>
              <w:ind w:left="0"/>
              <w:rPr>
                <w:rFonts w:ascii="Times New Roman" w:hAnsi="Times New Roman" w:eastAsia="宋体" w:cs="Times New Roman"/>
                <w:snapToGrid w:val="0"/>
                <w:color w:val="000000"/>
                <w:kern w:val="21"/>
              </w:rPr>
            </w:pPr>
          </w:p>
        </w:tc>
        <w:tc>
          <w:tcPr>
            <w:tcW w:w="516" w:type="pct"/>
            <w:vAlign w:val="center"/>
          </w:tcPr>
          <w:p>
            <w:pPr>
              <w:pStyle w:val="63"/>
              <w:spacing w:line="240" w:lineRule="auto"/>
              <w:ind w:left="0"/>
              <w:rPr>
                <w:rFonts w:ascii="Times New Roman" w:hAnsi="Times New Roman" w:eastAsia="宋体" w:cs="Times New Roman"/>
                <w:snapToGrid w:val="0"/>
                <w:color w:val="000000"/>
                <w:kern w:val="21"/>
              </w:rPr>
            </w:pPr>
          </w:p>
        </w:tc>
        <w:tc>
          <w:tcPr>
            <w:tcW w:w="624" w:type="pct"/>
            <w:vAlign w:val="center"/>
          </w:tcPr>
          <w:p>
            <w:pPr>
              <w:pStyle w:val="63"/>
              <w:spacing w:line="240" w:lineRule="auto"/>
              <w:ind w:left="0"/>
              <w:rPr>
                <w:rFonts w:ascii="Times New Roman" w:hAnsi="Times New Roman" w:eastAsia="宋体" w:cs="Times New Roman"/>
                <w:snapToGrid w:val="0"/>
                <w:color w:val="000000"/>
                <w:kern w:val="21"/>
                <w:lang w:eastAsia="zh-CN"/>
              </w:rPr>
            </w:pPr>
            <w:r>
              <w:rPr>
                <w:rFonts w:ascii="Times New Roman" w:hAnsi="Times New Roman" w:eastAsia="宋体" w:cs="Times New Roman"/>
                <w:snapToGrid w:val="0"/>
                <w:color w:val="000000"/>
                <w:kern w:val="21"/>
                <w:lang w:eastAsia="zh-CN"/>
              </w:rPr>
              <w:t>0.</w:t>
            </w:r>
            <w:r>
              <w:rPr>
                <w:rFonts w:hint="eastAsia" w:ascii="Times New Roman" w:hAnsi="Times New Roman" w:eastAsia="宋体" w:cs="Times New Roman"/>
                <w:snapToGrid w:val="0"/>
                <w:color w:val="000000"/>
                <w:kern w:val="21"/>
                <w:lang w:eastAsia="zh-CN"/>
              </w:rPr>
              <w:t>0</w:t>
            </w:r>
            <w:r>
              <w:rPr>
                <w:rFonts w:ascii="Times New Roman" w:hAnsi="Times New Roman" w:eastAsia="宋体" w:cs="Times New Roman"/>
                <w:snapToGrid w:val="0"/>
                <w:color w:val="000000"/>
                <w:kern w:val="21"/>
                <w:lang w:eastAsia="zh-CN"/>
              </w:rPr>
              <w:t>1</w:t>
            </w:r>
            <w:r>
              <w:rPr>
                <w:rFonts w:ascii="Times New Roman" w:hAnsi="Times New Roman" w:eastAsia="宋体" w:cs="Times New Roman"/>
                <w:color w:val="000000"/>
                <w:lang w:eastAsia="zh-CN"/>
              </w:rPr>
              <w:t>t/a</w:t>
            </w:r>
          </w:p>
        </w:tc>
        <w:tc>
          <w:tcPr>
            <w:tcW w:w="516" w:type="pct"/>
            <w:vAlign w:val="center"/>
          </w:tcPr>
          <w:p>
            <w:pPr>
              <w:pStyle w:val="63"/>
              <w:spacing w:line="240" w:lineRule="auto"/>
              <w:ind w:left="0"/>
              <w:rPr>
                <w:rFonts w:ascii="Times New Roman" w:hAnsi="Times New Roman" w:eastAsia="宋体" w:cs="Times New Roman"/>
                <w:snapToGrid w:val="0"/>
                <w:color w:val="000000"/>
                <w:kern w:val="21"/>
              </w:rPr>
            </w:pPr>
          </w:p>
        </w:tc>
        <w:tc>
          <w:tcPr>
            <w:tcW w:w="666" w:type="pct"/>
            <w:vAlign w:val="center"/>
          </w:tcPr>
          <w:p>
            <w:pPr>
              <w:pStyle w:val="63"/>
              <w:spacing w:line="240" w:lineRule="auto"/>
              <w:ind w:left="0"/>
              <w:rPr>
                <w:rFonts w:ascii="Times New Roman" w:hAnsi="Times New Roman" w:eastAsia="宋体" w:cs="Times New Roman"/>
                <w:snapToGrid w:val="0"/>
                <w:color w:val="000000"/>
                <w:kern w:val="21"/>
                <w:lang w:eastAsia="zh-CN"/>
              </w:rPr>
            </w:pPr>
            <w:r>
              <w:rPr>
                <w:rFonts w:ascii="Times New Roman" w:hAnsi="Times New Roman" w:eastAsia="宋体" w:cs="Times New Roman"/>
                <w:snapToGrid w:val="0"/>
                <w:color w:val="000000"/>
                <w:kern w:val="21"/>
                <w:lang w:eastAsia="zh-CN"/>
              </w:rPr>
              <w:t>0.</w:t>
            </w:r>
            <w:r>
              <w:rPr>
                <w:rFonts w:hint="eastAsia" w:ascii="Times New Roman" w:hAnsi="Times New Roman" w:eastAsia="宋体" w:cs="Times New Roman"/>
                <w:snapToGrid w:val="0"/>
                <w:color w:val="000000"/>
                <w:kern w:val="21"/>
                <w:lang w:eastAsia="zh-CN"/>
              </w:rPr>
              <w:t>01t/</w:t>
            </w:r>
            <w:r>
              <w:rPr>
                <w:rFonts w:ascii="Times New Roman" w:hAnsi="Times New Roman" w:eastAsia="宋体" w:cs="Times New Roman"/>
                <w:color w:val="000000"/>
                <w:lang w:eastAsia="zh-CN"/>
              </w:rPr>
              <w:t>/a</w:t>
            </w:r>
          </w:p>
        </w:tc>
        <w:tc>
          <w:tcPr>
            <w:tcW w:w="606"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0.</w:t>
            </w:r>
            <w:r>
              <w:rPr>
                <w:rFonts w:hint="eastAsia" w:ascii="Times New Roman" w:eastAsia="宋体"/>
                <w:snapToGrid w:val="0"/>
                <w:color w:val="000000"/>
                <w:kern w:val="21"/>
                <w:szCs w:val="21"/>
              </w:rPr>
              <w:t>0</w:t>
            </w:r>
            <w:r>
              <w:rPr>
                <w:rFonts w:ascii="Times New Roman" w:eastAsia="宋体"/>
                <w:snapToGrid w:val="0"/>
                <w:color w:val="000000"/>
                <w:kern w:val="21"/>
                <w:szCs w:val="21"/>
              </w:rPr>
              <w:t>1</w:t>
            </w:r>
            <w:r>
              <w:rPr>
                <w:rFonts w:ascii="Times New Roman" w:eastAsia="宋体"/>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restart"/>
            <w:vAlign w:val="center"/>
          </w:tcPr>
          <w:p>
            <w:pPr>
              <w:adjustRightInd w:val="0"/>
              <w:snapToGrid w:val="0"/>
              <w:jc w:val="center"/>
            </w:pPr>
            <w:r>
              <w:rPr>
                <w:color w:val="000000"/>
              </w:rPr>
              <w:t>备用发电机燃油废气</w:t>
            </w:r>
          </w:p>
        </w:tc>
        <w:tc>
          <w:tcPr>
            <w:tcW w:w="470" w:type="pct"/>
            <w:vAlign w:val="center"/>
          </w:tcPr>
          <w:p>
            <w:pPr>
              <w:pStyle w:val="63"/>
              <w:spacing w:line="240" w:lineRule="auto"/>
              <w:ind w:left="0"/>
              <w:rPr>
                <w:rFonts w:ascii="Times New Roman" w:hAnsi="Times New Roman" w:eastAsia="宋体" w:cs="Times New Roman"/>
                <w:snapToGrid w:val="0"/>
                <w:color w:val="000000"/>
                <w:kern w:val="21"/>
              </w:rPr>
            </w:pPr>
            <w:r>
              <w:rPr>
                <w:rFonts w:ascii="Times New Roman" w:hAnsi="Times New Roman" w:eastAsia="宋体" w:cs="Times New Roman"/>
                <w:position w:val="2"/>
              </w:rPr>
              <w:t>SO</w:t>
            </w:r>
            <w:r>
              <w:rPr>
                <w:rFonts w:ascii="Times New Roman" w:hAnsi="Times New Roman" w:eastAsia="宋体" w:cs="Times New Roman"/>
                <w:position w:val="2"/>
                <w:vertAlign w:val="subscript"/>
              </w:rPr>
              <w:t>2</w:t>
            </w:r>
          </w:p>
        </w:tc>
        <w:tc>
          <w:tcPr>
            <w:tcW w:w="538" w:type="pct"/>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0.050(kg/a)</w:t>
            </w:r>
          </w:p>
        </w:tc>
        <w:tc>
          <w:tcPr>
            <w:tcW w:w="441" w:type="pct"/>
            <w:vAlign w:val="center"/>
          </w:tcPr>
          <w:p>
            <w:pPr>
              <w:pStyle w:val="55"/>
              <w:spacing w:beforeLines="0" w:afterLines="0" w:line="240" w:lineRule="auto"/>
              <w:ind w:firstLine="0"/>
              <w:rPr>
                <w:rFonts w:ascii="Times New Roman" w:eastAsia="宋体"/>
                <w:color w:val="000000"/>
                <w:szCs w:val="21"/>
              </w:rPr>
            </w:pPr>
          </w:p>
        </w:tc>
        <w:tc>
          <w:tcPr>
            <w:tcW w:w="516" w:type="pct"/>
            <w:vAlign w:val="center"/>
          </w:tcPr>
          <w:p>
            <w:pPr>
              <w:pStyle w:val="55"/>
              <w:spacing w:beforeLines="0" w:afterLines="0" w:line="240" w:lineRule="auto"/>
              <w:ind w:firstLine="0"/>
              <w:rPr>
                <w:rFonts w:ascii="Times New Roman" w:eastAsia="宋体"/>
                <w:color w:val="000000"/>
                <w:szCs w:val="21"/>
              </w:rPr>
            </w:pPr>
          </w:p>
        </w:tc>
        <w:tc>
          <w:tcPr>
            <w:tcW w:w="624"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color w:val="000000"/>
                <w:szCs w:val="21"/>
              </w:rPr>
              <w:t>0</w:t>
            </w:r>
          </w:p>
        </w:tc>
        <w:tc>
          <w:tcPr>
            <w:tcW w:w="516" w:type="pct"/>
            <w:vAlign w:val="center"/>
          </w:tcPr>
          <w:p>
            <w:pPr>
              <w:pStyle w:val="55"/>
              <w:spacing w:beforeLines="0" w:afterLines="0" w:line="240" w:lineRule="auto"/>
              <w:ind w:firstLine="0"/>
              <w:rPr>
                <w:rFonts w:ascii="Times New Roman" w:eastAsia="宋体"/>
                <w:color w:val="000000"/>
                <w:szCs w:val="21"/>
              </w:rPr>
            </w:pPr>
          </w:p>
        </w:tc>
        <w:tc>
          <w:tcPr>
            <w:tcW w:w="666" w:type="pct"/>
            <w:vAlign w:val="center"/>
          </w:tcPr>
          <w:p>
            <w:pPr>
              <w:pStyle w:val="63"/>
              <w:spacing w:line="240" w:lineRule="auto"/>
              <w:ind w:left="0"/>
              <w:rPr>
                <w:rFonts w:ascii="Times New Roman" w:hAnsi="Times New Roman" w:eastAsia="宋体" w:cs="Times New Roman"/>
                <w:color w:val="000000"/>
                <w:lang w:eastAsia="zh-CN"/>
              </w:rPr>
            </w:pPr>
            <w:r>
              <w:rPr>
                <w:rFonts w:ascii="Times New Roman" w:hAnsi="Times New Roman" w:eastAsia="宋体" w:cs="Times New Roman"/>
              </w:rPr>
              <w:t>0.050(kg/a)</w:t>
            </w:r>
          </w:p>
        </w:tc>
        <w:tc>
          <w:tcPr>
            <w:tcW w:w="606"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color w:val="000000"/>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position w:val="2"/>
              </w:rPr>
              <w:t>NO</w:t>
            </w:r>
            <w:r>
              <w:rPr>
                <w:rFonts w:ascii="Times New Roman" w:hAnsi="Times New Roman" w:eastAsia="宋体" w:cs="Times New Roman"/>
                <w:position w:val="2"/>
                <w:vertAlign w:val="subscript"/>
              </w:rPr>
              <w:t>X</w:t>
            </w:r>
          </w:p>
        </w:tc>
        <w:tc>
          <w:tcPr>
            <w:tcW w:w="538"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0.242(kg/a)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0.242(kg/a)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烟尘</w:t>
            </w:r>
          </w:p>
        </w:tc>
        <w:tc>
          <w:tcPr>
            <w:tcW w:w="538"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0.158(kg/a)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0.158(kg/a)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烟气</w:t>
            </w:r>
          </w:p>
        </w:tc>
        <w:tc>
          <w:tcPr>
            <w:tcW w:w="538"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1440Nm</w:t>
            </w:r>
            <w:r>
              <w:rPr>
                <w:rFonts w:ascii="Times New Roman" w:hAnsi="Times New Roman" w:eastAsia="宋体" w:cs="Times New Roman"/>
                <w:position w:val="7"/>
              </w:rPr>
              <w:t>3</w:t>
            </w:r>
            <w:r>
              <w:rPr>
                <w:rFonts w:ascii="Times New Roman" w:hAnsi="Times New Roman" w:eastAsia="宋体" w:cs="Times New Roman"/>
              </w:rPr>
              <w:t>/a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1440Nm</w:t>
            </w:r>
            <w:r>
              <w:rPr>
                <w:rFonts w:ascii="Times New Roman" w:hAnsi="Times New Roman" w:eastAsia="宋体" w:cs="Times New Roman"/>
                <w:position w:val="7"/>
              </w:rPr>
              <w:t>3</w:t>
            </w:r>
            <w:r>
              <w:rPr>
                <w:rFonts w:ascii="Times New Roman" w:hAnsi="Times New Roman" w:eastAsia="宋体" w:cs="Times New Roman"/>
              </w:rPr>
              <w:t>/a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21" w:type="pct"/>
            <w:vMerge w:val="continue"/>
            <w:vAlign w:val="center"/>
          </w:tcPr>
          <w:p>
            <w:pPr>
              <w:pStyle w:val="55"/>
              <w:spacing w:beforeLines="0" w:afterLines="0" w:line="240" w:lineRule="auto"/>
              <w:ind w:firstLine="0"/>
              <w:rPr>
                <w:rFonts w:ascii="Times New Roman" w:eastAsia="宋体"/>
                <w:snapToGrid w:val="0"/>
                <w:color w:val="000000"/>
                <w:kern w:val="21"/>
                <w:szCs w:val="21"/>
              </w:rPr>
            </w:pPr>
          </w:p>
        </w:tc>
        <w:tc>
          <w:tcPr>
            <w:tcW w:w="402" w:type="pct"/>
            <w:vMerge w:val="restart"/>
            <w:vAlign w:val="center"/>
          </w:tcPr>
          <w:p>
            <w:pPr>
              <w:adjustRightInd w:val="0"/>
              <w:snapToGrid w:val="0"/>
              <w:jc w:val="center"/>
              <w:rPr>
                <w:snapToGrid w:val="0"/>
                <w:color w:val="000000"/>
                <w:kern w:val="21"/>
              </w:rPr>
            </w:pPr>
            <w:r>
              <w:rPr>
                <w:color w:val="000000"/>
              </w:rPr>
              <w:t>汽车尾气（地下车库）</w:t>
            </w:r>
          </w:p>
        </w:tc>
        <w:tc>
          <w:tcPr>
            <w:tcW w:w="470" w:type="pct"/>
            <w:vAlign w:val="center"/>
          </w:tcPr>
          <w:p>
            <w:pPr>
              <w:pStyle w:val="80"/>
              <w:rPr>
                <w:snapToGrid w:val="0"/>
                <w:color w:val="000000"/>
                <w:kern w:val="21"/>
              </w:rPr>
            </w:pPr>
            <w:r>
              <w:rPr>
                <w:color w:val="000000"/>
              </w:rPr>
              <w:t>CO</w:t>
            </w:r>
          </w:p>
        </w:tc>
        <w:tc>
          <w:tcPr>
            <w:tcW w:w="538"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szCs w:val="21"/>
              </w:rPr>
              <w:t>14.2kg/a</w:t>
            </w:r>
          </w:p>
        </w:tc>
        <w:tc>
          <w:tcPr>
            <w:tcW w:w="441" w:type="pct"/>
            <w:vAlign w:val="center"/>
          </w:tcPr>
          <w:p>
            <w:pPr>
              <w:pStyle w:val="55"/>
              <w:spacing w:beforeLines="0" w:afterLines="0" w:line="240" w:lineRule="auto"/>
              <w:ind w:firstLine="0"/>
              <w:rPr>
                <w:rFonts w:ascii="Times New Roman" w:eastAsia="宋体"/>
                <w:color w:val="000000"/>
                <w:szCs w:val="21"/>
              </w:rPr>
            </w:pPr>
          </w:p>
        </w:tc>
        <w:tc>
          <w:tcPr>
            <w:tcW w:w="516" w:type="pct"/>
            <w:vAlign w:val="center"/>
          </w:tcPr>
          <w:p>
            <w:pPr>
              <w:pStyle w:val="55"/>
              <w:spacing w:beforeLines="0" w:afterLines="0" w:line="240" w:lineRule="auto"/>
              <w:ind w:firstLine="0"/>
              <w:rPr>
                <w:rFonts w:ascii="Times New Roman" w:eastAsia="宋体"/>
                <w:color w:val="000000"/>
                <w:szCs w:val="21"/>
              </w:rPr>
            </w:pPr>
          </w:p>
        </w:tc>
        <w:tc>
          <w:tcPr>
            <w:tcW w:w="624"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szCs w:val="21"/>
              </w:rPr>
              <w:t>5.44kg/a</w:t>
            </w:r>
          </w:p>
        </w:tc>
        <w:tc>
          <w:tcPr>
            <w:tcW w:w="516" w:type="pct"/>
            <w:vAlign w:val="center"/>
          </w:tcPr>
          <w:p>
            <w:pPr>
              <w:pStyle w:val="55"/>
              <w:spacing w:beforeLines="0" w:afterLines="0" w:line="240" w:lineRule="auto"/>
              <w:ind w:firstLine="0"/>
              <w:rPr>
                <w:rFonts w:ascii="Times New Roman" w:eastAsia="宋体"/>
                <w:color w:val="000000"/>
                <w:szCs w:val="21"/>
              </w:rPr>
            </w:pPr>
          </w:p>
        </w:tc>
        <w:tc>
          <w:tcPr>
            <w:tcW w:w="666"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color w:val="000000"/>
                <w:szCs w:val="21"/>
              </w:rPr>
              <w:t>19.64</w:t>
            </w:r>
            <w:r>
              <w:rPr>
                <w:rFonts w:ascii="Times New Roman" w:eastAsia="宋体"/>
                <w:szCs w:val="21"/>
              </w:rPr>
              <w:t>kg/a</w:t>
            </w:r>
          </w:p>
        </w:tc>
        <w:tc>
          <w:tcPr>
            <w:tcW w:w="606" w:type="pct"/>
            <w:vAlign w:val="center"/>
          </w:tcPr>
          <w:p>
            <w:pPr>
              <w:pStyle w:val="55"/>
              <w:spacing w:beforeLines="0" w:afterLines="0" w:line="240" w:lineRule="auto"/>
              <w:ind w:firstLine="0"/>
              <w:rPr>
                <w:rFonts w:ascii="Times New Roman" w:eastAsia="宋体"/>
                <w:color w:val="000000"/>
                <w:szCs w:val="21"/>
              </w:rPr>
            </w:pPr>
            <w:r>
              <w:rPr>
                <w:rFonts w:ascii="Times New Roman" w:eastAsia="宋体"/>
                <w:szCs w:val="21"/>
              </w:rPr>
              <w:t>5.44kg/a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80"/>
            </w:pPr>
            <w:r>
              <w:rPr>
                <w:color w:val="000000"/>
              </w:rPr>
              <w:t>HC</w:t>
            </w:r>
          </w:p>
        </w:tc>
        <w:tc>
          <w:tcPr>
            <w:tcW w:w="538"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1.24kg/a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0.473kg/a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1.713kg/a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0.473kg/a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55"/>
              <w:spacing w:beforeLines="0" w:afterLines="0" w:line="240" w:lineRule="auto"/>
              <w:ind w:firstLine="0"/>
              <w:rPr>
                <w:rFonts w:ascii="Times New Roman" w:eastAsia="宋体"/>
                <w:szCs w:val="21"/>
              </w:rPr>
            </w:pPr>
            <w:r>
              <w:rPr>
                <w:rFonts w:ascii="Times New Roman" w:eastAsia="宋体"/>
                <w:color w:val="000000"/>
                <w:szCs w:val="21"/>
              </w:rPr>
              <w:t>NO</w:t>
            </w:r>
            <w:r>
              <w:rPr>
                <w:rFonts w:ascii="Times New Roman" w:eastAsia="宋体"/>
                <w:color w:val="000000"/>
                <w:szCs w:val="21"/>
                <w:vertAlign w:val="subscript"/>
              </w:rPr>
              <w:t>2</w:t>
            </w:r>
          </w:p>
        </w:tc>
        <w:tc>
          <w:tcPr>
            <w:tcW w:w="538"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0.93kg/a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0.355kg/a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1.285kg/a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0.355kg/a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2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固体废物</w:t>
            </w:r>
          </w:p>
        </w:tc>
        <w:tc>
          <w:tcPr>
            <w:tcW w:w="402" w:type="pct"/>
            <w:vAlign w:val="center"/>
          </w:tcPr>
          <w:p>
            <w:pPr>
              <w:pStyle w:val="80"/>
              <w:rPr>
                <w:snapToGrid w:val="0"/>
                <w:color w:val="000000"/>
                <w:kern w:val="21"/>
              </w:rPr>
            </w:pPr>
            <w:r>
              <w:rPr>
                <w:color w:val="000000"/>
              </w:rPr>
              <w:t>生活垃圾</w:t>
            </w:r>
          </w:p>
        </w:tc>
        <w:tc>
          <w:tcPr>
            <w:tcW w:w="470" w:type="pct"/>
            <w:vAlign w:val="center"/>
          </w:tcPr>
          <w:p>
            <w:pPr>
              <w:jc w:val="center"/>
              <w:rPr>
                <w:snapToGrid w:val="0"/>
                <w:color w:val="000000"/>
                <w:kern w:val="21"/>
              </w:rPr>
            </w:pPr>
            <w:r>
              <w:rPr>
                <w:snapToGrid w:val="0"/>
                <w:color w:val="000000"/>
                <w:kern w:val="21"/>
              </w:rPr>
              <w:t>生活垃圾</w:t>
            </w:r>
          </w:p>
        </w:tc>
        <w:tc>
          <w:tcPr>
            <w:tcW w:w="538" w:type="pct"/>
            <w:vAlign w:val="center"/>
          </w:tcPr>
          <w:p>
            <w:pPr>
              <w:jc w:val="center"/>
              <w:rPr>
                <w:snapToGrid w:val="0"/>
                <w:color w:val="000000"/>
                <w:kern w:val="21"/>
              </w:rPr>
            </w:pPr>
            <w:r>
              <w:t>5.5t/a</w:t>
            </w:r>
          </w:p>
        </w:tc>
        <w:tc>
          <w:tcPr>
            <w:tcW w:w="441" w:type="pct"/>
            <w:vAlign w:val="center"/>
          </w:tcPr>
          <w:p>
            <w:pPr>
              <w:jc w:val="center"/>
              <w:rPr>
                <w:snapToGrid w:val="0"/>
                <w:color w:val="000000"/>
                <w:kern w:val="21"/>
              </w:rPr>
            </w:pPr>
          </w:p>
        </w:tc>
        <w:tc>
          <w:tcPr>
            <w:tcW w:w="516" w:type="pct"/>
            <w:vAlign w:val="center"/>
          </w:tcPr>
          <w:p>
            <w:pPr>
              <w:jc w:val="center"/>
              <w:rPr>
                <w:snapToGrid w:val="0"/>
                <w:color w:val="000000"/>
                <w:kern w:val="21"/>
              </w:rPr>
            </w:pPr>
          </w:p>
        </w:tc>
        <w:tc>
          <w:tcPr>
            <w:tcW w:w="624" w:type="pct"/>
            <w:vAlign w:val="center"/>
          </w:tcPr>
          <w:p>
            <w:pPr>
              <w:jc w:val="center"/>
              <w:rPr>
                <w:snapToGrid w:val="0"/>
                <w:kern w:val="21"/>
              </w:rPr>
            </w:pPr>
            <w:r>
              <w:t>5.57t/a</w:t>
            </w:r>
          </w:p>
        </w:tc>
        <w:tc>
          <w:tcPr>
            <w:tcW w:w="516" w:type="pct"/>
            <w:vAlign w:val="center"/>
          </w:tcPr>
          <w:p>
            <w:pPr>
              <w:jc w:val="center"/>
              <w:rPr>
                <w:snapToGrid w:val="0"/>
                <w:color w:val="000000"/>
                <w:kern w:val="21"/>
              </w:rPr>
            </w:pPr>
          </w:p>
        </w:tc>
        <w:tc>
          <w:tcPr>
            <w:tcW w:w="666" w:type="pct"/>
            <w:vAlign w:val="center"/>
          </w:tcPr>
          <w:p>
            <w:pPr>
              <w:jc w:val="center"/>
              <w:rPr>
                <w:snapToGrid w:val="0"/>
                <w:color w:val="000000"/>
                <w:kern w:val="21"/>
              </w:rPr>
            </w:pPr>
            <w:r>
              <w:t>11.07t/a</w:t>
            </w:r>
          </w:p>
        </w:tc>
        <w:tc>
          <w:tcPr>
            <w:tcW w:w="606" w:type="pct"/>
            <w:vAlign w:val="center"/>
          </w:tcPr>
          <w:p>
            <w:pPr>
              <w:jc w:val="center"/>
              <w:rPr>
                <w:snapToGrid w:val="0"/>
                <w:kern w:val="21"/>
              </w:rPr>
            </w:pPr>
            <w:r>
              <w:t>5.57t/a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221" w:type="pct"/>
            <w:vMerge w:val="continue"/>
            <w:vAlign w:val="center"/>
          </w:tcPr>
          <w:p>
            <w:pPr>
              <w:jc w:val="center"/>
            </w:pPr>
          </w:p>
        </w:tc>
        <w:tc>
          <w:tcPr>
            <w:tcW w:w="872" w:type="pct"/>
            <w:gridSpan w:val="2"/>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餐厨垃圾</w:t>
            </w:r>
          </w:p>
        </w:tc>
        <w:tc>
          <w:tcPr>
            <w:tcW w:w="538" w:type="pct"/>
            <w:vAlign w:val="center"/>
          </w:tcPr>
          <w:p>
            <w:pPr>
              <w:pStyle w:val="63"/>
              <w:spacing w:line="240" w:lineRule="auto"/>
              <w:ind w:left="0"/>
              <w:rPr>
                <w:rFonts w:ascii="Times New Roman" w:hAnsi="Times New Roman" w:eastAsia="宋体" w:cs="Times New Roman"/>
                <w:w w:val="99"/>
                <w:lang w:eastAsia="zh-CN"/>
              </w:rPr>
            </w:pPr>
            <w:r>
              <w:rPr>
                <w:rFonts w:ascii="Times New Roman" w:hAnsi="Times New Roman" w:eastAsia="宋体" w:cs="Times New Roman"/>
                <w:w w:val="99"/>
                <w:lang w:eastAsia="zh-CN"/>
              </w:rPr>
              <w:t>/</w:t>
            </w:r>
          </w:p>
        </w:tc>
        <w:tc>
          <w:tcPr>
            <w:tcW w:w="441" w:type="pct"/>
            <w:vAlign w:val="center"/>
          </w:tcPr>
          <w:p>
            <w:pPr>
              <w:jc w:val="center"/>
            </w:pPr>
          </w:p>
        </w:tc>
        <w:tc>
          <w:tcPr>
            <w:tcW w:w="516" w:type="pct"/>
            <w:vAlign w:val="center"/>
          </w:tcPr>
          <w:p>
            <w:pPr>
              <w:jc w:val="center"/>
            </w:pPr>
          </w:p>
        </w:tc>
        <w:tc>
          <w:tcPr>
            <w:tcW w:w="624" w:type="pct"/>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11.04</w:t>
            </w:r>
            <w:r>
              <w:rPr>
                <w:rFonts w:ascii="Times New Roman" w:hAnsi="Times New Roman" w:eastAsia="宋体" w:cs="Times New Roman"/>
                <w:color w:val="000000"/>
                <w:lang w:eastAsia="zh-CN"/>
              </w:rPr>
              <w:t>t/a</w:t>
            </w:r>
          </w:p>
        </w:tc>
        <w:tc>
          <w:tcPr>
            <w:tcW w:w="516" w:type="pct"/>
            <w:vAlign w:val="center"/>
          </w:tcPr>
          <w:p>
            <w:pPr>
              <w:jc w:val="center"/>
            </w:pPr>
          </w:p>
        </w:tc>
        <w:tc>
          <w:tcPr>
            <w:tcW w:w="666" w:type="pct"/>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11.04</w:t>
            </w:r>
            <w:r>
              <w:rPr>
                <w:rFonts w:ascii="Times New Roman" w:hAnsi="Times New Roman" w:eastAsia="宋体" w:cs="Times New Roman"/>
                <w:color w:val="000000"/>
                <w:lang w:eastAsia="zh-CN"/>
              </w:rPr>
              <w:t>t/a</w:t>
            </w:r>
          </w:p>
        </w:tc>
        <w:tc>
          <w:tcPr>
            <w:tcW w:w="606" w:type="pct"/>
            <w:vAlign w:val="center"/>
          </w:tcPr>
          <w:p>
            <w:pPr>
              <w:pStyle w:val="63"/>
              <w:spacing w:line="240" w:lineRule="auto"/>
              <w:ind w:left="0"/>
              <w:rPr>
                <w:rFonts w:ascii="Times New Roman" w:hAnsi="Times New Roman" w:eastAsia="宋体" w:cs="Times New Roman"/>
                <w:lang w:eastAsia="zh-CN"/>
              </w:rPr>
            </w:pPr>
            <w:r>
              <w:rPr>
                <w:rFonts w:ascii="Times New Roman" w:hAnsi="Times New Roman" w:eastAsia="宋体" w:cs="Times New Roman"/>
                <w:lang w:eastAsia="zh-CN"/>
              </w:rPr>
              <w:t>11.04</w:t>
            </w:r>
            <w:r>
              <w:rPr>
                <w:rFonts w:ascii="Times New Roman" w:hAnsi="Times New Roman" w:eastAsia="宋体" w:cs="Times New Roman"/>
                <w:color w:val="000000"/>
                <w:lang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1" w:type="pct"/>
            <w:vMerge w:val="continue"/>
            <w:vAlign w:val="center"/>
          </w:tcPr>
          <w:p>
            <w:pPr>
              <w:jc w:val="center"/>
            </w:pPr>
          </w:p>
        </w:tc>
        <w:tc>
          <w:tcPr>
            <w:tcW w:w="872" w:type="pct"/>
            <w:gridSpan w:val="2"/>
            <w:vAlign w:val="center"/>
          </w:tcPr>
          <w:p>
            <w:pPr>
              <w:pStyle w:val="63"/>
              <w:spacing w:line="240" w:lineRule="auto"/>
              <w:ind w:left="0"/>
              <w:jc w:val="center"/>
              <w:rPr>
                <w:rFonts w:ascii="Times New Roman" w:hAnsi="Times New Roman" w:eastAsia="宋体" w:cs="Times New Roman"/>
                <w:lang w:eastAsia="zh-CN"/>
              </w:rPr>
            </w:pPr>
            <w:r>
              <w:rPr>
                <w:rFonts w:hint="eastAsia" w:ascii="宋体" w:hAnsi="宋体" w:eastAsia="宋体" w:cs="宋体"/>
                <w:color w:val="000000"/>
                <w:lang w:eastAsia="zh-CN"/>
              </w:rPr>
              <w:t>医疗废物</w:t>
            </w:r>
          </w:p>
        </w:tc>
        <w:tc>
          <w:tcPr>
            <w:tcW w:w="538" w:type="pct"/>
            <w:vAlign w:val="center"/>
          </w:tcPr>
          <w:p>
            <w:pPr>
              <w:pStyle w:val="63"/>
              <w:spacing w:line="240" w:lineRule="auto"/>
              <w:ind w:left="0"/>
              <w:rPr>
                <w:rFonts w:ascii="Times New Roman" w:hAnsi="Times New Roman" w:eastAsia="宋体" w:cs="Times New Roman"/>
              </w:rPr>
            </w:pPr>
            <w:r>
              <w:rPr>
                <w:rFonts w:hint="eastAsia" w:ascii="Times New Roman" w:hAnsi="Times New Roman" w:eastAsia="宋体" w:cs="Times New Roman"/>
                <w:w w:val="99"/>
                <w:lang w:eastAsia="zh-CN"/>
              </w:rPr>
              <w:t>6.5</w:t>
            </w:r>
            <w:r>
              <w:rPr>
                <w:rFonts w:ascii="Times New Roman" w:hAnsi="Times New Roman" w:eastAsia="宋体" w:cs="Times New Roman"/>
              </w:rPr>
              <w:t>t/a</w:t>
            </w:r>
          </w:p>
        </w:tc>
        <w:tc>
          <w:tcPr>
            <w:tcW w:w="441" w:type="pct"/>
            <w:vAlign w:val="center"/>
          </w:tcPr>
          <w:p>
            <w:pPr>
              <w:jc w:val="center"/>
            </w:pPr>
          </w:p>
        </w:tc>
        <w:tc>
          <w:tcPr>
            <w:tcW w:w="516" w:type="pct"/>
            <w:vAlign w:val="center"/>
          </w:tcPr>
          <w:p>
            <w:pPr>
              <w:jc w:val="center"/>
            </w:pPr>
          </w:p>
        </w:tc>
        <w:tc>
          <w:tcPr>
            <w:tcW w:w="624" w:type="pct"/>
            <w:vAlign w:val="center"/>
          </w:tcPr>
          <w:p>
            <w:pPr>
              <w:pStyle w:val="63"/>
              <w:spacing w:line="240" w:lineRule="auto"/>
              <w:ind w:left="0"/>
              <w:rPr>
                <w:rFonts w:ascii="Times New Roman" w:hAnsi="Times New Roman" w:eastAsia="宋体" w:cs="Times New Roman"/>
              </w:rPr>
            </w:pPr>
            <w:r>
              <w:rPr>
                <w:rFonts w:hint="eastAsia" w:ascii="Times New Roman" w:hAnsi="Times New Roman" w:eastAsia="宋体" w:cs="Times New Roman"/>
                <w:lang w:eastAsia="zh-CN"/>
              </w:rPr>
              <w:t>3.2</w:t>
            </w:r>
            <w:r>
              <w:rPr>
                <w:rFonts w:ascii="Times New Roman" w:hAnsi="Times New Roman" w:eastAsia="宋体" w:cs="Times New Roman"/>
              </w:rPr>
              <w:t>t/a</w:t>
            </w:r>
          </w:p>
        </w:tc>
        <w:tc>
          <w:tcPr>
            <w:tcW w:w="516" w:type="pct"/>
            <w:vAlign w:val="center"/>
          </w:tcPr>
          <w:p>
            <w:pPr>
              <w:jc w:val="center"/>
            </w:pPr>
          </w:p>
        </w:tc>
        <w:tc>
          <w:tcPr>
            <w:tcW w:w="666" w:type="pct"/>
            <w:vAlign w:val="center"/>
          </w:tcPr>
          <w:p>
            <w:pPr>
              <w:jc w:val="center"/>
            </w:pPr>
            <w:r>
              <w:rPr>
                <w:rFonts w:hint="eastAsia"/>
              </w:rPr>
              <w:t>9.7</w:t>
            </w:r>
            <w:r>
              <w:t>t/a</w:t>
            </w:r>
          </w:p>
        </w:tc>
        <w:tc>
          <w:tcPr>
            <w:tcW w:w="606" w:type="pct"/>
            <w:vAlign w:val="center"/>
          </w:tcPr>
          <w:p>
            <w:pPr>
              <w:pStyle w:val="63"/>
              <w:spacing w:line="240" w:lineRule="auto"/>
              <w:ind w:left="0"/>
              <w:rPr>
                <w:rFonts w:ascii="Times New Roman" w:hAnsi="Times New Roman" w:eastAsia="宋体" w:cs="Times New Roman"/>
              </w:rPr>
            </w:pPr>
            <w:r>
              <w:rPr>
                <w:rFonts w:hint="eastAsia" w:ascii="Times New Roman" w:hAnsi="Times New Roman" w:eastAsia="宋体" w:cs="Times New Roman"/>
                <w:lang w:eastAsia="zh-CN"/>
              </w:rPr>
              <w:t>3.2</w:t>
            </w:r>
            <w:r>
              <w:rPr>
                <w:rFonts w:ascii="Times New Roman" w:hAnsi="Times New Roman" w:eastAsia="宋体" w:cs="Times New Roma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21" w:type="pct"/>
            <w:vMerge w:val="continue"/>
            <w:vAlign w:val="center"/>
          </w:tcPr>
          <w:p>
            <w:pPr>
              <w:jc w:val="center"/>
              <w:rPr>
                <w:snapToGrid w:val="0"/>
                <w:color w:val="000000"/>
                <w:kern w:val="21"/>
              </w:rPr>
            </w:pPr>
          </w:p>
        </w:tc>
        <w:tc>
          <w:tcPr>
            <w:tcW w:w="402" w:type="pct"/>
            <w:vAlign w:val="center"/>
          </w:tcPr>
          <w:p>
            <w:pPr>
              <w:pStyle w:val="80"/>
              <w:rPr>
                <w:snapToGrid w:val="0"/>
                <w:color w:val="000000"/>
                <w:kern w:val="21"/>
              </w:rPr>
            </w:pPr>
            <w:r>
              <w:rPr>
                <w:color w:val="000000"/>
              </w:rPr>
              <w:t>危险废物</w:t>
            </w:r>
          </w:p>
        </w:tc>
        <w:tc>
          <w:tcPr>
            <w:tcW w:w="470" w:type="pct"/>
            <w:vAlign w:val="center"/>
          </w:tcPr>
          <w:p>
            <w:pPr>
              <w:jc w:val="center"/>
              <w:rPr>
                <w:snapToGrid w:val="0"/>
                <w:color w:val="000000"/>
                <w:kern w:val="21"/>
              </w:rPr>
            </w:pPr>
            <w:r>
              <w:rPr>
                <w:color w:val="000000"/>
              </w:rPr>
              <w:t>污水处理站污泥</w:t>
            </w:r>
          </w:p>
        </w:tc>
        <w:tc>
          <w:tcPr>
            <w:tcW w:w="538" w:type="pct"/>
            <w:vAlign w:val="center"/>
          </w:tcPr>
          <w:p>
            <w:pPr>
              <w:jc w:val="center"/>
              <w:rPr>
                <w:snapToGrid w:val="0"/>
                <w:color w:val="000000"/>
                <w:kern w:val="21"/>
              </w:rPr>
            </w:pPr>
            <w:r>
              <w:t xml:space="preserve">9.5 t/a </w:t>
            </w:r>
          </w:p>
        </w:tc>
        <w:tc>
          <w:tcPr>
            <w:tcW w:w="441" w:type="pct"/>
            <w:vAlign w:val="center"/>
          </w:tcPr>
          <w:p>
            <w:pPr>
              <w:jc w:val="center"/>
              <w:rPr>
                <w:snapToGrid w:val="0"/>
                <w:color w:val="000000"/>
                <w:kern w:val="21"/>
              </w:rPr>
            </w:pPr>
          </w:p>
        </w:tc>
        <w:tc>
          <w:tcPr>
            <w:tcW w:w="516" w:type="pct"/>
            <w:vAlign w:val="center"/>
          </w:tcPr>
          <w:p>
            <w:pPr>
              <w:jc w:val="center"/>
              <w:rPr>
                <w:snapToGrid w:val="0"/>
                <w:color w:val="000000"/>
                <w:kern w:val="21"/>
              </w:rPr>
            </w:pPr>
          </w:p>
        </w:tc>
        <w:tc>
          <w:tcPr>
            <w:tcW w:w="624" w:type="pct"/>
            <w:vAlign w:val="center"/>
          </w:tcPr>
          <w:p>
            <w:pPr>
              <w:jc w:val="center"/>
              <w:rPr>
                <w:snapToGrid w:val="0"/>
                <w:kern w:val="21"/>
              </w:rPr>
            </w:pPr>
            <w:r>
              <w:rPr>
                <w:rFonts w:hint="eastAsia"/>
              </w:rPr>
              <w:t>15.2</w:t>
            </w:r>
            <w:r>
              <w:t xml:space="preserve"> t/a </w:t>
            </w:r>
          </w:p>
        </w:tc>
        <w:tc>
          <w:tcPr>
            <w:tcW w:w="516" w:type="pct"/>
            <w:vAlign w:val="center"/>
          </w:tcPr>
          <w:p>
            <w:pPr>
              <w:jc w:val="center"/>
              <w:rPr>
                <w:snapToGrid w:val="0"/>
                <w:color w:val="000000"/>
                <w:kern w:val="21"/>
              </w:rPr>
            </w:pPr>
          </w:p>
        </w:tc>
        <w:tc>
          <w:tcPr>
            <w:tcW w:w="666" w:type="pct"/>
            <w:vAlign w:val="center"/>
          </w:tcPr>
          <w:p>
            <w:pPr>
              <w:jc w:val="center"/>
              <w:rPr>
                <w:snapToGrid w:val="0"/>
                <w:color w:val="000000"/>
                <w:kern w:val="21"/>
              </w:rPr>
            </w:pPr>
            <w:r>
              <w:t>24.7t/a</w:t>
            </w:r>
          </w:p>
        </w:tc>
        <w:tc>
          <w:tcPr>
            <w:tcW w:w="606" w:type="pct"/>
            <w:vAlign w:val="center"/>
          </w:tcPr>
          <w:p>
            <w:pPr>
              <w:jc w:val="center"/>
              <w:rPr>
                <w:snapToGrid w:val="0"/>
                <w:kern w:val="21"/>
              </w:rPr>
            </w:pPr>
            <w:r>
              <w:rPr>
                <w:rFonts w:hint="eastAsia"/>
              </w:rPr>
              <w:t>15.2</w:t>
            </w:r>
            <w:r>
              <w:t xml:space="preserve"> t/a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21" w:type="pct"/>
            <w:vMerge w:val="restar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废水</w:t>
            </w:r>
          </w:p>
        </w:tc>
        <w:tc>
          <w:tcPr>
            <w:tcW w:w="402" w:type="pct"/>
            <w:vMerge w:val="restart"/>
            <w:vAlign w:val="center"/>
          </w:tcPr>
          <w:p>
            <w:pPr>
              <w:pStyle w:val="55"/>
              <w:spacing w:beforeLines="0" w:afterLines="0" w:line="240" w:lineRule="auto"/>
              <w:ind w:firstLine="0"/>
              <w:jc w:val="center"/>
            </w:pPr>
            <w:r>
              <w:rPr>
                <w:rFonts w:ascii="Times New Roman" w:eastAsia="宋体"/>
                <w:snapToGrid w:val="0"/>
                <w:color w:val="000000"/>
                <w:kern w:val="21"/>
                <w:szCs w:val="21"/>
              </w:rPr>
              <w:t>生活废水</w:t>
            </w:r>
          </w:p>
          <w:p>
            <w:pPr>
              <w:pStyle w:val="55"/>
              <w:spacing w:beforeLines="0" w:afterLines="0" w:line="240" w:lineRule="auto"/>
              <w:ind w:firstLine="0"/>
              <w:rPr>
                <w:rFonts w:ascii="Times New Roman" w:eastAsia="宋体"/>
                <w:szCs w:val="21"/>
              </w:rPr>
            </w:pPr>
            <w:r>
              <w:rPr>
                <w:rFonts w:ascii="Times New Roman" w:eastAsia="宋体"/>
                <w:szCs w:val="21"/>
              </w:rPr>
              <w:t>医疗废水</w:t>
            </w:r>
          </w:p>
        </w:tc>
        <w:tc>
          <w:tcPr>
            <w:tcW w:w="470"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排水量</w:t>
            </w:r>
          </w:p>
        </w:tc>
        <w:tc>
          <w:tcPr>
            <w:tcW w:w="538"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zCs w:val="21"/>
              </w:rPr>
              <w:t>24674.12m</w:t>
            </w:r>
            <w:r>
              <w:rPr>
                <w:rFonts w:ascii="Times New Roman" w:eastAsia="宋体"/>
                <w:position w:val="7"/>
                <w:sz w:val="15"/>
                <w:szCs w:val="15"/>
              </w:rPr>
              <w:t>3</w:t>
            </w:r>
            <w:r>
              <w:rPr>
                <w:rFonts w:ascii="Times New Roman" w:eastAsia="宋体"/>
                <w:szCs w:val="21"/>
              </w:rPr>
              <w:t>/a（67.6m</w:t>
            </w:r>
            <w:r>
              <w:rPr>
                <w:rFonts w:ascii="Times New Roman" w:eastAsia="宋体"/>
                <w:spacing w:val="-2"/>
                <w:w w:val="104"/>
                <w:position w:val="8"/>
                <w:sz w:val="15"/>
                <w:szCs w:val="15"/>
              </w:rPr>
              <w:t>3</w:t>
            </w:r>
            <w:r>
              <w:rPr>
                <w:rFonts w:ascii="Times New Roman" w:eastAsia="宋体"/>
                <w:szCs w:val="21"/>
              </w:rPr>
              <w:t>/</w:t>
            </w:r>
            <w:r>
              <w:rPr>
                <w:rFonts w:ascii="Times New Roman" w:eastAsia="宋体"/>
                <w:spacing w:val="-1"/>
                <w:szCs w:val="21"/>
              </w:rPr>
              <w:t>d）</w:t>
            </w:r>
          </w:p>
        </w:tc>
        <w:tc>
          <w:tcPr>
            <w:tcW w:w="441" w:type="pct"/>
            <w:vAlign w:val="center"/>
          </w:tcPr>
          <w:p>
            <w:pPr>
              <w:pStyle w:val="55"/>
              <w:spacing w:beforeLines="0" w:afterLines="0" w:line="240" w:lineRule="auto"/>
              <w:ind w:firstLine="0"/>
              <w:rPr>
                <w:rFonts w:ascii="Times New Roman" w:eastAsia="宋体"/>
                <w:snapToGrid w:val="0"/>
                <w:color w:val="000000"/>
                <w:kern w:val="21"/>
                <w:szCs w:val="21"/>
              </w:rPr>
            </w:pPr>
            <w:r>
              <w:rPr>
                <w:rFonts w:ascii="Times New Roman" w:eastAsia="宋体"/>
                <w:snapToGrid w:val="0"/>
                <w:color w:val="000000"/>
                <w:kern w:val="21"/>
                <w:szCs w:val="21"/>
              </w:rPr>
              <w:t>150</w:t>
            </w:r>
            <w:r>
              <w:rPr>
                <w:rFonts w:ascii="Times New Roman" w:eastAsia="宋体"/>
                <w:szCs w:val="21"/>
              </w:rPr>
              <w:t>m</w:t>
            </w:r>
            <w:r>
              <w:rPr>
                <w:rFonts w:ascii="Times New Roman" w:eastAsia="宋体"/>
                <w:spacing w:val="-2"/>
                <w:w w:val="104"/>
                <w:position w:val="8"/>
                <w:szCs w:val="21"/>
              </w:rPr>
              <w:t>3</w:t>
            </w:r>
            <w:r>
              <w:rPr>
                <w:rFonts w:ascii="Times New Roman" w:eastAsia="宋体"/>
                <w:szCs w:val="21"/>
              </w:rPr>
              <w:t>/</w:t>
            </w:r>
            <w:r>
              <w:rPr>
                <w:rFonts w:ascii="Times New Roman" w:eastAsia="宋体"/>
                <w:spacing w:val="-1"/>
                <w:szCs w:val="21"/>
              </w:rPr>
              <w:t>d</w:t>
            </w:r>
          </w:p>
        </w:tc>
        <w:tc>
          <w:tcPr>
            <w:tcW w:w="516" w:type="pct"/>
            <w:vAlign w:val="center"/>
          </w:tcPr>
          <w:p>
            <w:pPr>
              <w:pStyle w:val="55"/>
              <w:spacing w:beforeLines="0" w:afterLines="0" w:line="240" w:lineRule="auto"/>
              <w:ind w:firstLine="0"/>
              <w:rPr>
                <w:rFonts w:ascii="Times New Roman" w:eastAsia="宋体"/>
                <w:snapToGrid w:val="0"/>
                <w:color w:val="000000"/>
                <w:kern w:val="21"/>
                <w:szCs w:val="21"/>
              </w:rPr>
            </w:pPr>
          </w:p>
        </w:tc>
        <w:tc>
          <w:tcPr>
            <w:tcW w:w="624" w:type="pct"/>
            <w:vAlign w:val="center"/>
          </w:tcPr>
          <w:p>
            <w:pPr>
              <w:pStyle w:val="55"/>
              <w:spacing w:beforeLines="0" w:afterLines="0" w:line="240" w:lineRule="auto"/>
              <w:ind w:firstLine="0"/>
              <w:rPr>
                <w:rFonts w:ascii="Times New Roman" w:eastAsia="宋体"/>
                <w:snapToGrid w:val="0"/>
                <w:color w:val="000000"/>
                <w:kern w:val="21"/>
                <w:szCs w:val="21"/>
              </w:rPr>
            </w:pPr>
            <w:r>
              <w:rPr>
                <w:rFonts w:hint="eastAsia" w:ascii="Times New Roman" w:eastAsia="宋体"/>
                <w:szCs w:val="21"/>
              </w:rPr>
              <w:t>19831.63</w:t>
            </w:r>
            <w:r>
              <w:rPr>
                <w:rFonts w:ascii="Times New Roman" w:eastAsia="宋体"/>
                <w:szCs w:val="21"/>
              </w:rPr>
              <w:t>m</w:t>
            </w:r>
            <w:r>
              <w:rPr>
                <w:rFonts w:ascii="Times New Roman" w:eastAsia="宋体"/>
                <w:position w:val="7"/>
                <w:sz w:val="15"/>
                <w:szCs w:val="15"/>
              </w:rPr>
              <w:t>3</w:t>
            </w:r>
            <w:r>
              <w:rPr>
                <w:rFonts w:ascii="Times New Roman" w:eastAsia="宋体"/>
                <w:szCs w:val="21"/>
              </w:rPr>
              <w:t>/a（</w:t>
            </w:r>
            <w:r>
              <w:rPr>
                <w:rFonts w:hint="eastAsia" w:ascii="Times New Roman" w:eastAsia="宋体"/>
                <w:szCs w:val="21"/>
              </w:rPr>
              <w:t>59.66</w:t>
            </w:r>
            <w:r>
              <w:rPr>
                <w:rFonts w:ascii="Times New Roman" w:eastAsia="宋体"/>
                <w:szCs w:val="21"/>
              </w:rPr>
              <w:t>m</w:t>
            </w:r>
            <w:r>
              <w:rPr>
                <w:rFonts w:ascii="Times New Roman" w:eastAsia="宋体"/>
                <w:spacing w:val="-2"/>
                <w:w w:val="104"/>
                <w:position w:val="8"/>
                <w:sz w:val="15"/>
                <w:szCs w:val="15"/>
              </w:rPr>
              <w:t>3</w:t>
            </w:r>
            <w:r>
              <w:rPr>
                <w:rFonts w:ascii="Times New Roman" w:eastAsia="宋体"/>
                <w:szCs w:val="21"/>
              </w:rPr>
              <w:t>/</w:t>
            </w:r>
            <w:r>
              <w:rPr>
                <w:rFonts w:ascii="Times New Roman" w:eastAsia="宋体"/>
                <w:spacing w:val="-1"/>
                <w:szCs w:val="21"/>
              </w:rPr>
              <w:t>d）</w:t>
            </w:r>
          </w:p>
        </w:tc>
        <w:tc>
          <w:tcPr>
            <w:tcW w:w="516" w:type="pct"/>
            <w:vAlign w:val="center"/>
          </w:tcPr>
          <w:p>
            <w:pPr>
              <w:pStyle w:val="55"/>
              <w:spacing w:beforeLines="0" w:afterLines="0" w:line="240" w:lineRule="auto"/>
              <w:ind w:firstLine="0"/>
              <w:rPr>
                <w:rFonts w:ascii="Times New Roman" w:eastAsia="宋体"/>
                <w:snapToGrid w:val="0"/>
                <w:color w:val="000000"/>
                <w:kern w:val="21"/>
                <w:szCs w:val="21"/>
              </w:rPr>
            </w:pPr>
          </w:p>
        </w:tc>
        <w:tc>
          <w:tcPr>
            <w:tcW w:w="666" w:type="pct"/>
            <w:vAlign w:val="center"/>
          </w:tcPr>
          <w:p>
            <w:pPr>
              <w:pStyle w:val="55"/>
              <w:spacing w:beforeLines="0" w:afterLines="0" w:line="240" w:lineRule="auto"/>
              <w:ind w:firstLine="0"/>
              <w:rPr>
                <w:rFonts w:ascii="Times New Roman" w:eastAsia="宋体"/>
                <w:snapToGrid w:val="0"/>
                <w:color w:val="000000"/>
                <w:kern w:val="21"/>
                <w:szCs w:val="21"/>
              </w:rPr>
            </w:pPr>
            <w:r>
              <w:rPr>
                <w:rFonts w:hint="eastAsia" w:ascii="Times New Roman" w:eastAsia="宋体"/>
                <w:szCs w:val="21"/>
              </w:rPr>
              <w:t>45307.57</w:t>
            </w:r>
            <w:r>
              <w:rPr>
                <w:rFonts w:ascii="Times New Roman" w:eastAsia="宋体"/>
                <w:szCs w:val="21"/>
              </w:rPr>
              <w:t>m</w:t>
            </w:r>
            <w:r>
              <w:rPr>
                <w:rFonts w:ascii="Times New Roman" w:eastAsia="宋体"/>
                <w:position w:val="7"/>
                <w:sz w:val="15"/>
                <w:szCs w:val="15"/>
              </w:rPr>
              <w:t>3</w:t>
            </w:r>
            <w:r>
              <w:rPr>
                <w:rFonts w:ascii="Times New Roman" w:eastAsia="宋体"/>
                <w:szCs w:val="21"/>
              </w:rPr>
              <w:t>/a(</w:t>
            </w:r>
            <w:r>
              <w:rPr>
                <w:rFonts w:hint="eastAsia" w:ascii="Times New Roman" w:eastAsia="宋体"/>
                <w:szCs w:val="21"/>
              </w:rPr>
              <w:t>118.477</w:t>
            </w:r>
            <w:r>
              <w:rPr>
                <w:rFonts w:ascii="Times New Roman" w:eastAsia="宋体"/>
                <w:szCs w:val="21"/>
              </w:rPr>
              <w:t>m</w:t>
            </w:r>
            <w:r>
              <w:rPr>
                <w:rFonts w:ascii="Times New Roman" w:eastAsia="宋体"/>
                <w:spacing w:val="-2"/>
                <w:w w:val="104"/>
                <w:position w:val="8"/>
                <w:sz w:val="15"/>
                <w:szCs w:val="15"/>
              </w:rPr>
              <w:t>3</w:t>
            </w:r>
            <w:r>
              <w:rPr>
                <w:rFonts w:ascii="Times New Roman" w:eastAsia="宋体"/>
                <w:szCs w:val="21"/>
              </w:rPr>
              <w:t>/</w:t>
            </w:r>
            <w:r>
              <w:rPr>
                <w:rFonts w:ascii="Times New Roman" w:eastAsia="宋体"/>
                <w:spacing w:val="-1"/>
                <w:szCs w:val="21"/>
              </w:rPr>
              <w:t>d）</w:t>
            </w:r>
          </w:p>
        </w:tc>
        <w:tc>
          <w:tcPr>
            <w:tcW w:w="606" w:type="pct"/>
            <w:vAlign w:val="center"/>
          </w:tcPr>
          <w:p>
            <w:pPr>
              <w:pStyle w:val="55"/>
              <w:spacing w:beforeLines="0" w:afterLines="0" w:line="240" w:lineRule="auto"/>
              <w:ind w:firstLine="0"/>
              <w:rPr>
                <w:rFonts w:ascii="Times New Roman" w:eastAsia="宋体"/>
                <w:snapToGrid w:val="0"/>
                <w:color w:val="000000"/>
                <w:kern w:val="21"/>
                <w:szCs w:val="21"/>
              </w:rPr>
            </w:pPr>
            <w:r>
              <w:rPr>
                <w:rFonts w:hint="eastAsia" w:ascii="Times New Roman" w:eastAsia="宋体"/>
                <w:szCs w:val="21"/>
              </w:rPr>
              <w:t>19831.63</w:t>
            </w:r>
            <w:r>
              <w:rPr>
                <w:rFonts w:ascii="Times New Roman" w:eastAsia="宋体"/>
                <w:szCs w:val="21"/>
              </w:rPr>
              <w:t>m</w:t>
            </w:r>
            <w:r>
              <w:rPr>
                <w:rFonts w:ascii="Times New Roman" w:eastAsia="宋体"/>
                <w:position w:val="7"/>
                <w:sz w:val="15"/>
                <w:szCs w:val="15"/>
              </w:rPr>
              <w:t>3</w:t>
            </w:r>
            <w:r>
              <w:rPr>
                <w:rFonts w:ascii="Times New Roman" w:eastAsia="宋体"/>
                <w:szCs w:val="21"/>
              </w:rPr>
              <w:t>/a（</w:t>
            </w:r>
            <w:r>
              <w:rPr>
                <w:rFonts w:hint="eastAsia" w:ascii="Times New Roman" w:eastAsia="宋体"/>
                <w:szCs w:val="21"/>
              </w:rPr>
              <w:t>59.66</w:t>
            </w:r>
            <w:r>
              <w:rPr>
                <w:rFonts w:ascii="Times New Roman" w:eastAsia="宋体"/>
                <w:szCs w:val="21"/>
              </w:rPr>
              <w:t>m</w:t>
            </w:r>
            <w:r>
              <w:rPr>
                <w:rFonts w:ascii="Times New Roman" w:eastAsia="宋体"/>
                <w:spacing w:val="-2"/>
                <w:w w:val="104"/>
                <w:position w:val="8"/>
                <w:sz w:val="15"/>
                <w:szCs w:val="15"/>
              </w:rPr>
              <w:t>3</w:t>
            </w:r>
            <w:r>
              <w:rPr>
                <w:rFonts w:ascii="Times New Roman" w:eastAsia="宋体"/>
                <w:szCs w:val="21"/>
              </w:rPr>
              <w:t>/</w:t>
            </w:r>
            <w:r>
              <w:rPr>
                <w:rFonts w:ascii="Times New Roman" w:eastAsia="宋体"/>
                <w:spacing w:val="-1"/>
                <w:szCs w:val="21"/>
              </w:rPr>
              <w:t>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position w:val="2"/>
              </w:rPr>
              <w:t>COD</w:t>
            </w:r>
            <w:r>
              <w:rPr>
                <w:rFonts w:ascii="Times New Roman" w:hAnsi="Times New Roman" w:eastAsia="宋体" w:cs="Times New Roman"/>
                <w:position w:val="2"/>
                <w:vertAlign w:val="subscript"/>
              </w:rPr>
              <w:t>Cr</w:t>
            </w:r>
          </w:p>
          <w:p>
            <w:pPr>
              <w:pStyle w:val="55"/>
              <w:spacing w:beforeLines="0" w:afterLines="0" w:line="240" w:lineRule="auto"/>
              <w:ind w:firstLine="0"/>
              <w:rPr>
                <w:rFonts w:ascii="Times New Roman" w:eastAsia="宋体"/>
                <w:szCs w:val="21"/>
              </w:rPr>
            </w:pPr>
          </w:p>
        </w:tc>
        <w:tc>
          <w:tcPr>
            <w:tcW w:w="538"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1.480</w:t>
            </w:r>
            <w:r>
              <w:rPr>
                <w:rFonts w:ascii="Times New Roman" w:eastAsia="宋体"/>
                <w:szCs w:val="21"/>
              </w:rPr>
              <w:t>t/a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0.78t/a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2.</w:t>
            </w:r>
            <w:r>
              <w:rPr>
                <w:rFonts w:ascii="Times New Roman" w:eastAsia="宋体"/>
                <w:szCs w:val="21"/>
              </w:rPr>
              <w:t>26t/a</w:t>
            </w:r>
          </w:p>
        </w:tc>
        <w:tc>
          <w:tcPr>
            <w:tcW w:w="606" w:type="pct"/>
            <w:vAlign w:val="center"/>
          </w:tcPr>
          <w:p>
            <w:pPr>
              <w:pStyle w:val="55"/>
              <w:spacing w:beforeLines="0" w:afterLines="0" w:line="240" w:lineRule="auto"/>
              <w:ind w:firstLine="0"/>
              <w:rPr>
                <w:rFonts w:ascii="Times New Roman" w:eastAsia="宋体"/>
                <w:szCs w:val="21"/>
              </w:rPr>
            </w:pPr>
            <w:r>
              <w:rPr>
                <w:rFonts w:ascii="Times New Roman" w:eastAsia="宋体"/>
                <w:szCs w:val="21"/>
              </w:rPr>
              <w:t>0.78t/a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position w:val="2"/>
              </w:rPr>
              <w:t>BOD</w:t>
            </w:r>
            <w:r>
              <w:rPr>
                <w:rFonts w:ascii="Times New Roman" w:hAnsi="Times New Roman" w:eastAsia="宋体" w:cs="Times New Roman"/>
                <w:position w:val="2"/>
                <w:vertAlign w:val="subscript"/>
              </w:rPr>
              <w:t>5</w:t>
            </w:r>
          </w:p>
          <w:p>
            <w:pPr>
              <w:pStyle w:val="55"/>
              <w:spacing w:beforeLines="0" w:afterLines="0" w:line="240" w:lineRule="auto"/>
              <w:ind w:firstLine="0"/>
              <w:rPr>
                <w:rFonts w:ascii="Times New Roman" w:eastAsia="宋体"/>
                <w:szCs w:val="21"/>
              </w:rPr>
            </w:pPr>
          </w:p>
        </w:tc>
        <w:tc>
          <w:tcPr>
            <w:tcW w:w="538"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0.493</w:t>
            </w:r>
            <w:r>
              <w:rPr>
                <w:rFonts w:ascii="Times New Roman" w:eastAsia="宋体"/>
                <w:szCs w:val="21"/>
              </w:rPr>
              <w:t>t/a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2t/a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693t/a</w:t>
            </w:r>
          </w:p>
        </w:tc>
        <w:tc>
          <w:tcPr>
            <w:tcW w:w="60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SS</w:t>
            </w:r>
          </w:p>
          <w:p>
            <w:pPr>
              <w:pStyle w:val="55"/>
              <w:spacing w:beforeLines="0" w:afterLines="0" w:line="240" w:lineRule="auto"/>
              <w:ind w:firstLine="0"/>
              <w:rPr>
                <w:rFonts w:ascii="Times New Roman" w:eastAsia="宋体"/>
                <w:szCs w:val="21"/>
              </w:rPr>
            </w:pPr>
          </w:p>
        </w:tc>
        <w:tc>
          <w:tcPr>
            <w:tcW w:w="538"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0.493</w:t>
            </w:r>
            <w:r>
              <w:rPr>
                <w:rFonts w:ascii="Times New Roman" w:eastAsia="宋体"/>
                <w:szCs w:val="21"/>
              </w:rPr>
              <w:t>t/a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3</w:t>
            </w:r>
            <w:r>
              <w:rPr>
                <w:rFonts w:hint="eastAsia" w:ascii="Times New Roman" w:eastAsia="宋体"/>
                <w:szCs w:val="21"/>
              </w:rPr>
              <w:t>3</w:t>
            </w:r>
            <w:r>
              <w:rPr>
                <w:rFonts w:ascii="Times New Roman" w:eastAsia="宋体"/>
                <w:szCs w:val="21"/>
              </w:rPr>
              <w:t>t/a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823t/a</w:t>
            </w:r>
          </w:p>
        </w:tc>
        <w:tc>
          <w:tcPr>
            <w:tcW w:w="60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3</w:t>
            </w:r>
            <w:r>
              <w:rPr>
                <w:rFonts w:hint="eastAsia" w:ascii="Times New Roman" w:eastAsia="宋体"/>
                <w:szCs w:val="21"/>
              </w:rPr>
              <w:t>3</w:t>
            </w:r>
            <w:r>
              <w:rPr>
                <w:rFonts w:ascii="Times New Roman" w:eastAsia="宋体"/>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21" w:type="pct"/>
            <w:vMerge w:val="continue"/>
            <w:vAlign w:val="center"/>
          </w:tcPr>
          <w:p>
            <w:pPr>
              <w:pStyle w:val="55"/>
              <w:spacing w:beforeLines="0" w:afterLines="0" w:line="240" w:lineRule="auto"/>
              <w:ind w:firstLine="0"/>
              <w:rPr>
                <w:rFonts w:ascii="Times New Roman" w:eastAsia="宋体"/>
                <w:szCs w:val="21"/>
              </w:rPr>
            </w:pPr>
          </w:p>
        </w:tc>
        <w:tc>
          <w:tcPr>
            <w:tcW w:w="402" w:type="pct"/>
            <w:vMerge w:val="continue"/>
            <w:vAlign w:val="center"/>
          </w:tcPr>
          <w:p>
            <w:pPr>
              <w:pStyle w:val="55"/>
              <w:spacing w:beforeLines="0" w:afterLines="0" w:line="240" w:lineRule="auto"/>
              <w:ind w:firstLine="0"/>
              <w:rPr>
                <w:rFonts w:ascii="Times New Roman" w:eastAsia="宋体"/>
                <w:szCs w:val="21"/>
              </w:rPr>
            </w:pPr>
          </w:p>
        </w:tc>
        <w:tc>
          <w:tcPr>
            <w:tcW w:w="470" w:type="pct"/>
            <w:vAlign w:val="center"/>
          </w:tcPr>
          <w:p>
            <w:pPr>
              <w:pStyle w:val="63"/>
              <w:spacing w:line="240" w:lineRule="auto"/>
              <w:ind w:left="0"/>
              <w:rPr>
                <w:rFonts w:ascii="Times New Roman" w:hAnsi="Times New Roman" w:eastAsia="宋体" w:cs="Times New Roman"/>
              </w:rPr>
            </w:pPr>
            <w:r>
              <w:rPr>
                <w:rFonts w:ascii="Times New Roman" w:hAnsi="Times New Roman" w:eastAsia="宋体" w:cs="Times New Roman"/>
              </w:rPr>
              <w:t>氨氮</w:t>
            </w:r>
          </w:p>
          <w:p>
            <w:pPr>
              <w:pStyle w:val="55"/>
              <w:spacing w:beforeLines="0" w:afterLines="0" w:line="240" w:lineRule="auto"/>
              <w:ind w:firstLine="0"/>
              <w:rPr>
                <w:rFonts w:ascii="Times New Roman" w:eastAsia="宋体"/>
                <w:szCs w:val="21"/>
              </w:rPr>
            </w:pPr>
          </w:p>
        </w:tc>
        <w:tc>
          <w:tcPr>
            <w:tcW w:w="538"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0.370</w:t>
            </w:r>
            <w:r>
              <w:rPr>
                <w:rFonts w:ascii="Times New Roman" w:eastAsia="宋体"/>
                <w:szCs w:val="21"/>
              </w:rPr>
              <w:t>t/a</w:t>
            </w:r>
          </w:p>
        </w:tc>
        <w:tc>
          <w:tcPr>
            <w:tcW w:w="441" w:type="pct"/>
            <w:vAlign w:val="center"/>
          </w:tcPr>
          <w:p>
            <w:pPr>
              <w:pStyle w:val="55"/>
              <w:spacing w:beforeLines="0" w:afterLines="0" w:line="240" w:lineRule="auto"/>
              <w:ind w:firstLine="0"/>
              <w:rPr>
                <w:rFonts w:ascii="Times New Roman" w:eastAsia="宋体"/>
                <w:szCs w:val="21"/>
              </w:rPr>
            </w:pPr>
          </w:p>
        </w:tc>
        <w:tc>
          <w:tcPr>
            <w:tcW w:w="516" w:type="pct"/>
            <w:vAlign w:val="center"/>
          </w:tcPr>
          <w:p>
            <w:pPr>
              <w:pStyle w:val="55"/>
              <w:spacing w:beforeLines="0" w:afterLines="0" w:line="240" w:lineRule="auto"/>
              <w:ind w:firstLine="0"/>
              <w:rPr>
                <w:rFonts w:ascii="Times New Roman" w:eastAsia="宋体"/>
                <w:szCs w:val="21"/>
              </w:rPr>
            </w:pPr>
          </w:p>
        </w:tc>
        <w:tc>
          <w:tcPr>
            <w:tcW w:w="624"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24t/a</w:t>
            </w:r>
          </w:p>
        </w:tc>
        <w:tc>
          <w:tcPr>
            <w:tcW w:w="516" w:type="pct"/>
            <w:vAlign w:val="center"/>
          </w:tcPr>
          <w:p>
            <w:pPr>
              <w:pStyle w:val="55"/>
              <w:spacing w:beforeLines="0" w:afterLines="0" w:line="240" w:lineRule="auto"/>
              <w:ind w:firstLine="0"/>
              <w:rPr>
                <w:rFonts w:ascii="Times New Roman" w:eastAsia="宋体"/>
                <w:szCs w:val="21"/>
              </w:rPr>
            </w:pPr>
          </w:p>
        </w:tc>
        <w:tc>
          <w:tcPr>
            <w:tcW w:w="66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61t/a</w:t>
            </w:r>
          </w:p>
        </w:tc>
        <w:tc>
          <w:tcPr>
            <w:tcW w:w="606" w:type="pct"/>
            <w:vAlign w:val="center"/>
          </w:tcPr>
          <w:p>
            <w:pPr>
              <w:pStyle w:val="55"/>
              <w:spacing w:beforeLines="0" w:afterLines="0" w:line="240" w:lineRule="auto"/>
              <w:ind w:firstLine="0"/>
              <w:rPr>
                <w:rFonts w:ascii="Times New Roman" w:eastAsia="宋体"/>
                <w:szCs w:val="21"/>
              </w:rPr>
            </w:pPr>
            <w:r>
              <w:rPr>
                <w:rFonts w:hint="eastAsia" w:ascii="Times New Roman" w:eastAsia="宋体"/>
                <w:szCs w:val="21"/>
              </w:rPr>
              <w:t>0.</w:t>
            </w:r>
            <w:r>
              <w:rPr>
                <w:rFonts w:ascii="Times New Roman" w:eastAsia="宋体"/>
                <w:szCs w:val="21"/>
              </w:rPr>
              <w:t>24t/a</w:t>
            </w:r>
          </w:p>
        </w:tc>
      </w:tr>
    </w:tbl>
    <w:p>
      <w:pPr>
        <w:pStyle w:val="25"/>
        <w:adjustRightInd w:val="0"/>
        <w:snapToGrid w:val="0"/>
        <w:spacing w:before="0" w:beforeAutospacing="0" w:after="0" w:afterAutospacing="0" w:line="480" w:lineRule="auto"/>
        <w:jc w:val="both"/>
        <w:outlineLvl w:val="0"/>
        <w:rPr>
          <w:rFonts w:cs="宋体"/>
          <w:b/>
          <w:szCs w:val="32"/>
        </w:rPr>
      </w:pPr>
    </w:p>
    <w:sectPr>
      <w:footerReference r:id="rId7"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Microsoft JhengHei UI Light">
    <w:panose1 w:val="020B0304030504040204"/>
    <w:charset w:val="88"/>
    <w:family w:val="swiss"/>
    <w:pitch w:val="default"/>
    <w:sig w:usb0="800002A7" w:usb1="28CF4400" w:usb2="00000016" w:usb3="00000000" w:csb0="00100009" w:csb1="00000000"/>
  </w:font>
  <w:font w:name="TimesNewRomanPSMT">
    <w:altName w:val="Times New Roman"/>
    <w:panose1 w:val="00000000000000000000"/>
    <w:charset w:val="00"/>
    <w:family w:val="roman"/>
    <w:pitch w:val="default"/>
    <w:sig w:usb0="00000000" w:usb1="00000000" w:usb2="00000000" w:usb3="00000000" w:csb0="0000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30"/>
      </w:rPr>
    </w:pPr>
    <w:r>
      <w:fldChar w:fldCharType="begin"/>
    </w:r>
    <w:r>
      <w:rPr>
        <w:rStyle w:val="30"/>
      </w:rPr>
      <w:instrText xml:space="preserve">PAGE  </w:instrText>
    </w:r>
    <w:r>
      <w:fldChar w:fldCharType="end"/>
    </w:r>
  </w:p>
  <w:p>
    <w:pPr>
      <w:pStyle w:val="2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2</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pPr>
      <w:pStyle w:val="22"/>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0DA72"/>
    <w:multiLevelType w:val="singleLevel"/>
    <w:tmpl w:val="8050DA72"/>
    <w:lvl w:ilvl="0" w:tentative="0">
      <w:start w:val="2"/>
      <w:numFmt w:val="decimal"/>
      <w:suff w:val="nothing"/>
      <w:lvlText w:val="%1、"/>
      <w:lvlJc w:val="left"/>
    </w:lvl>
  </w:abstractNum>
  <w:abstractNum w:abstractNumId="1">
    <w:nsid w:val="81260D02"/>
    <w:multiLevelType w:val="singleLevel"/>
    <w:tmpl w:val="81260D02"/>
    <w:lvl w:ilvl="0" w:tentative="0">
      <w:start w:val="4"/>
      <w:numFmt w:val="decimal"/>
      <w:lvlText w:val="%1."/>
      <w:lvlJc w:val="left"/>
      <w:pPr>
        <w:tabs>
          <w:tab w:val="left" w:pos="312"/>
        </w:tabs>
      </w:pPr>
    </w:lvl>
  </w:abstractNum>
  <w:abstractNum w:abstractNumId="2">
    <w:nsid w:val="82C2BAF5"/>
    <w:multiLevelType w:val="singleLevel"/>
    <w:tmpl w:val="82C2BAF5"/>
    <w:lvl w:ilvl="0" w:tentative="0">
      <w:start w:val="1"/>
      <w:numFmt w:val="decimal"/>
      <w:suff w:val="nothing"/>
      <w:lvlText w:val="%1、"/>
      <w:lvlJc w:val="left"/>
    </w:lvl>
  </w:abstractNum>
  <w:abstractNum w:abstractNumId="3">
    <w:nsid w:val="C15B6B5B"/>
    <w:multiLevelType w:val="singleLevel"/>
    <w:tmpl w:val="C15B6B5B"/>
    <w:lvl w:ilvl="0" w:tentative="0">
      <w:start w:val="1"/>
      <w:numFmt w:val="decimal"/>
      <w:lvlText w:val="%1."/>
      <w:lvlJc w:val="left"/>
      <w:pPr>
        <w:tabs>
          <w:tab w:val="left" w:pos="312"/>
        </w:tabs>
      </w:pPr>
    </w:lvl>
  </w:abstractNum>
  <w:abstractNum w:abstractNumId="4">
    <w:nsid w:val="CF44E2A7"/>
    <w:multiLevelType w:val="singleLevel"/>
    <w:tmpl w:val="CF44E2A7"/>
    <w:lvl w:ilvl="0" w:tentative="0">
      <w:start w:val="2"/>
      <w:numFmt w:val="decimal"/>
      <w:suff w:val="nothing"/>
      <w:lvlText w:val="%1、"/>
      <w:lvlJc w:val="left"/>
    </w:lvl>
  </w:abstractNum>
  <w:abstractNum w:abstractNumId="5">
    <w:nsid w:val="EE6C5936"/>
    <w:multiLevelType w:val="multilevel"/>
    <w:tmpl w:val="EE6C5936"/>
    <w:lvl w:ilvl="0" w:tentative="0">
      <w:start w:val="1"/>
      <w:numFmt w:val="chineseCounting"/>
      <w:isLgl/>
      <w:suff w:val="nothing"/>
      <w:lvlText w:val="第%1章 "/>
      <w:lvlJc w:val="left"/>
      <w:pPr>
        <w:tabs>
          <w:tab w:val="left" w:pos="0"/>
        </w:tabs>
        <w:ind w:left="425" w:hanging="425"/>
      </w:pPr>
      <w:rPr>
        <w:rFonts w:hint="eastAsia" w:ascii="宋体" w:hAnsi="宋体" w:eastAsia="宋体" w:cs="宋体"/>
      </w:rPr>
    </w:lvl>
    <w:lvl w:ilvl="1" w:tentative="0">
      <w:start w:val="1"/>
      <w:numFmt w:val="decimal"/>
      <w:isLgl/>
      <w:suff w:val="space"/>
      <w:lvlText w:val="%1.%2"/>
      <w:lvlJc w:val="left"/>
      <w:pPr>
        <w:tabs>
          <w:tab w:val="left" w:pos="420"/>
        </w:tabs>
        <w:ind w:left="170" w:hanging="170"/>
      </w:pPr>
      <w:rPr>
        <w:rFonts w:hint="eastAsia" w:ascii="Times New Roman" w:hAnsi="Times New Roman" w:eastAsia="宋体" w:cs="宋体"/>
      </w:rPr>
    </w:lvl>
    <w:lvl w:ilvl="2" w:tentative="0">
      <w:start w:val="1"/>
      <w:numFmt w:val="decimal"/>
      <w:pStyle w:val="81"/>
      <w:isLgl/>
      <w:suff w:val="space"/>
      <w:lvlText w:val="%1.%2.%3"/>
      <w:lvlJc w:val="left"/>
      <w:pPr>
        <w:tabs>
          <w:tab w:val="left" w:pos="170"/>
        </w:tabs>
        <w:ind w:left="170" w:hanging="170"/>
      </w:pPr>
      <w:rPr>
        <w:rFonts w:hint="eastAsia" w:ascii="Times New Roman" w:hAnsi="Times New Roman" w:eastAsia="宋体" w:cs="宋体"/>
      </w:rPr>
    </w:lvl>
    <w:lvl w:ilvl="3" w:tentative="0">
      <w:start w:val="1"/>
      <w:numFmt w:val="decimal"/>
      <w:isLgl/>
      <w:suff w:val="space"/>
      <w:lvlText w:val="%1.%2.%3.%4"/>
      <w:lvlJc w:val="left"/>
      <w:pPr>
        <w:tabs>
          <w:tab w:val="left" w:pos="170"/>
        </w:tabs>
        <w:ind w:left="170" w:hanging="170"/>
      </w:pPr>
      <w:rPr>
        <w:rFonts w:hint="eastAsia" w:ascii="Times New Roman" w:hAnsi="Times New Roman" w:eastAsia="宋体" w:cs="宋体"/>
      </w:rPr>
    </w:lvl>
    <w:lvl w:ilvl="4" w:tentative="0">
      <w:start w:val="1"/>
      <w:numFmt w:val="decimal"/>
      <w:isLgl/>
      <w:lvlText w:val="%1.%2.%3.%4.%5."/>
      <w:lvlJc w:val="left"/>
      <w:pPr>
        <w:ind w:left="991" w:hanging="991"/>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6">
    <w:nsid w:val="3F078C73"/>
    <w:multiLevelType w:val="singleLevel"/>
    <w:tmpl w:val="3F078C73"/>
    <w:lvl w:ilvl="0" w:tentative="0">
      <w:start w:val="1"/>
      <w:numFmt w:val="bullet"/>
      <w:pStyle w:val="11"/>
      <w:lvlText w:val=""/>
      <w:lvlJc w:val="left"/>
      <w:pPr>
        <w:tabs>
          <w:tab w:val="left" w:pos="780"/>
        </w:tabs>
        <w:ind w:left="780" w:hanging="360"/>
      </w:pPr>
      <w:rPr>
        <w:rFonts w:hint="default" w:ascii="Wingdings" w:hAnsi="Wingdings"/>
      </w:rPr>
    </w:lvl>
  </w:abstractNum>
  <w:abstractNum w:abstractNumId="7">
    <w:nsid w:val="4E207B27"/>
    <w:multiLevelType w:val="singleLevel"/>
    <w:tmpl w:val="4E207B27"/>
    <w:lvl w:ilvl="0" w:tentative="0">
      <w:start w:val="4"/>
      <w:numFmt w:val="chineseCounting"/>
      <w:suff w:val="nothing"/>
      <w:lvlText w:val="%1、"/>
      <w:lvlJc w:val="left"/>
      <w:rPr>
        <w:rFonts w:hint="eastAsia"/>
        <w:b/>
        <w:bCs/>
      </w:rPr>
    </w:lvl>
  </w:abstractNum>
  <w:abstractNum w:abstractNumId="8">
    <w:nsid w:val="55031C67"/>
    <w:multiLevelType w:val="multilevel"/>
    <w:tmpl w:val="55031C67"/>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63C3C18A"/>
    <w:multiLevelType w:val="singleLevel"/>
    <w:tmpl w:val="63C3C18A"/>
    <w:lvl w:ilvl="0" w:tentative="0">
      <w:start w:val="3"/>
      <w:numFmt w:val="chineseCounting"/>
      <w:suff w:val="nothing"/>
      <w:lvlText w:val="%1、"/>
      <w:lvlJc w:val="left"/>
      <w:rPr>
        <w:rFonts w:hint="eastAsia"/>
      </w:rPr>
    </w:lvl>
  </w:abstractNum>
  <w:num w:numId="1">
    <w:abstractNumId w:val="6"/>
  </w:num>
  <w:num w:numId="2">
    <w:abstractNumId w:val="5"/>
  </w:num>
  <w:num w:numId="3">
    <w:abstractNumId w:val="1"/>
  </w:num>
  <w:num w:numId="4">
    <w:abstractNumId w:val="8"/>
  </w:num>
  <w:num w:numId="5">
    <w:abstractNumId w:val="0"/>
  </w:num>
  <w:num w:numId="6">
    <w:abstractNumId w:val="2"/>
  </w:num>
  <w:num w:numId="7">
    <w:abstractNumId w:val="4"/>
  </w:num>
  <w:num w:numId="8">
    <w:abstractNumId w:val="3"/>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trackedChanges"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C9F"/>
    <w:rsid w:val="00005200"/>
    <w:rsid w:val="00005291"/>
    <w:rsid w:val="00005429"/>
    <w:rsid w:val="000060B3"/>
    <w:rsid w:val="000070D2"/>
    <w:rsid w:val="00023CE7"/>
    <w:rsid w:val="00031008"/>
    <w:rsid w:val="00035FE9"/>
    <w:rsid w:val="00037488"/>
    <w:rsid w:val="00037E0A"/>
    <w:rsid w:val="0004364B"/>
    <w:rsid w:val="00047F1F"/>
    <w:rsid w:val="0005722E"/>
    <w:rsid w:val="00061B1F"/>
    <w:rsid w:val="000625A5"/>
    <w:rsid w:val="00063F5C"/>
    <w:rsid w:val="000643BA"/>
    <w:rsid w:val="00067821"/>
    <w:rsid w:val="000733C4"/>
    <w:rsid w:val="00074783"/>
    <w:rsid w:val="0008070B"/>
    <w:rsid w:val="000810AC"/>
    <w:rsid w:val="00081A02"/>
    <w:rsid w:val="00082231"/>
    <w:rsid w:val="000843E1"/>
    <w:rsid w:val="0008479C"/>
    <w:rsid w:val="000847A3"/>
    <w:rsid w:val="00087443"/>
    <w:rsid w:val="00090588"/>
    <w:rsid w:val="00092D38"/>
    <w:rsid w:val="00092FF1"/>
    <w:rsid w:val="0009377B"/>
    <w:rsid w:val="000A20C9"/>
    <w:rsid w:val="000A392F"/>
    <w:rsid w:val="000B058F"/>
    <w:rsid w:val="000B0B5C"/>
    <w:rsid w:val="000B117A"/>
    <w:rsid w:val="000B2731"/>
    <w:rsid w:val="000B4467"/>
    <w:rsid w:val="000B4DB9"/>
    <w:rsid w:val="000C09AC"/>
    <w:rsid w:val="000C3529"/>
    <w:rsid w:val="000C767F"/>
    <w:rsid w:val="000D119D"/>
    <w:rsid w:val="000D1545"/>
    <w:rsid w:val="000D5A44"/>
    <w:rsid w:val="000E3ED2"/>
    <w:rsid w:val="0010660D"/>
    <w:rsid w:val="00120ED6"/>
    <w:rsid w:val="00131F42"/>
    <w:rsid w:val="001357F1"/>
    <w:rsid w:val="00140FA8"/>
    <w:rsid w:val="001413FA"/>
    <w:rsid w:val="00142FEB"/>
    <w:rsid w:val="00143A2D"/>
    <w:rsid w:val="00145A41"/>
    <w:rsid w:val="001510E5"/>
    <w:rsid w:val="00151675"/>
    <w:rsid w:val="00157435"/>
    <w:rsid w:val="00157548"/>
    <w:rsid w:val="00161C5B"/>
    <w:rsid w:val="00167A34"/>
    <w:rsid w:val="00172A27"/>
    <w:rsid w:val="00174EB8"/>
    <w:rsid w:val="0017504D"/>
    <w:rsid w:val="0017671A"/>
    <w:rsid w:val="00177422"/>
    <w:rsid w:val="001775D8"/>
    <w:rsid w:val="00184590"/>
    <w:rsid w:val="001870D1"/>
    <w:rsid w:val="0018781E"/>
    <w:rsid w:val="00187AF2"/>
    <w:rsid w:val="0019262D"/>
    <w:rsid w:val="001976CE"/>
    <w:rsid w:val="001A1B35"/>
    <w:rsid w:val="001A28FF"/>
    <w:rsid w:val="001A48A2"/>
    <w:rsid w:val="001A6F61"/>
    <w:rsid w:val="001B540F"/>
    <w:rsid w:val="001B5A17"/>
    <w:rsid w:val="001B5B6B"/>
    <w:rsid w:val="001B695F"/>
    <w:rsid w:val="001B72B8"/>
    <w:rsid w:val="001B7F5E"/>
    <w:rsid w:val="001C69B3"/>
    <w:rsid w:val="001C6A9F"/>
    <w:rsid w:val="001D11DD"/>
    <w:rsid w:val="001D44FE"/>
    <w:rsid w:val="001D5595"/>
    <w:rsid w:val="001D7874"/>
    <w:rsid w:val="001D7BCB"/>
    <w:rsid w:val="001D7F22"/>
    <w:rsid w:val="001E3D91"/>
    <w:rsid w:val="001E4CDA"/>
    <w:rsid w:val="001F0F17"/>
    <w:rsid w:val="001F3347"/>
    <w:rsid w:val="001F386E"/>
    <w:rsid w:val="001F69E4"/>
    <w:rsid w:val="00205A2F"/>
    <w:rsid w:val="002125B4"/>
    <w:rsid w:val="002155B8"/>
    <w:rsid w:val="00224839"/>
    <w:rsid w:val="002249B2"/>
    <w:rsid w:val="00226574"/>
    <w:rsid w:val="002278EC"/>
    <w:rsid w:val="002302C4"/>
    <w:rsid w:val="0023280E"/>
    <w:rsid w:val="002377D1"/>
    <w:rsid w:val="00240ECE"/>
    <w:rsid w:val="0024111F"/>
    <w:rsid w:val="002506BC"/>
    <w:rsid w:val="00254345"/>
    <w:rsid w:val="0025600A"/>
    <w:rsid w:val="00264557"/>
    <w:rsid w:val="002648CE"/>
    <w:rsid w:val="00272738"/>
    <w:rsid w:val="00275653"/>
    <w:rsid w:val="00280310"/>
    <w:rsid w:val="002805AB"/>
    <w:rsid w:val="0028094D"/>
    <w:rsid w:val="00284204"/>
    <w:rsid w:val="00291773"/>
    <w:rsid w:val="00291C72"/>
    <w:rsid w:val="00297560"/>
    <w:rsid w:val="002A0AF9"/>
    <w:rsid w:val="002A168C"/>
    <w:rsid w:val="002A1910"/>
    <w:rsid w:val="002A3DC7"/>
    <w:rsid w:val="002B49E2"/>
    <w:rsid w:val="002B763D"/>
    <w:rsid w:val="002B7B00"/>
    <w:rsid w:val="002B7C44"/>
    <w:rsid w:val="002C0FC7"/>
    <w:rsid w:val="002C2B17"/>
    <w:rsid w:val="002C5534"/>
    <w:rsid w:val="002D0F7A"/>
    <w:rsid w:val="002D1CB9"/>
    <w:rsid w:val="002D3DD0"/>
    <w:rsid w:val="002D4BD3"/>
    <w:rsid w:val="002D5673"/>
    <w:rsid w:val="002E1F3A"/>
    <w:rsid w:val="002E298A"/>
    <w:rsid w:val="002E4F06"/>
    <w:rsid w:val="002E60D2"/>
    <w:rsid w:val="002F43A6"/>
    <w:rsid w:val="002F5E27"/>
    <w:rsid w:val="00301978"/>
    <w:rsid w:val="0030332C"/>
    <w:rsid w:val="003051C2"/>
    <w:rsid w:val="00307BF3"/>
    <w:rsid w:val="00312296"/>
    <w:rsid w:val="003137DE"/>
    <w:rsid w:val="00314F0E"/>
    <w:rsid w:val="00321D8E"/>
    <w:rsid w:val="00325928"/>
    <w:rsid w:val="00332863"/>
    <w:rsid w:val="0033684D"/>
    <w:rsid w:val="00337B42"/>
    <w:rsid w:val="00341B42"/>
    <w:rsid w:val="0034238E"/>
    <w:rsid w:val="0034348F"/>
    <w:rsid w:val="0034625E"/>
    <w:rsid w:val="00347DF5"/>
    <w:rsid w:val="00350959"/>
    <w:rsid w:val="00356653"/>
    <w:rsid w:val="0035717C"/>
    <w:rsid w:val="0035743F"/>
    <w:rsid w:val="00357BE2"/>
    <w:rsid w:val="0036170C"/>
    <w:rsid w:val="00363497"/>
    <w:rsid w:val="00366E0F"/>
    <w:rsid w:val="003759D5"/>
    <w:rsid w:val="003761BA"/>
    <w:rsid w:val="00380166"/>
    <w:rsid w:val="00381A72"/>
    <w:rsid w:val="0038383A"/>
    <w:rsid w:val="00384676"/>
    <w:rsid w:val="00390857"/>
    <w:rsid w:val="00390E24"/>
    <w:rsid w:val="003A4BF3"/>
    <w:rsid w:val="003B420D"/>
    <w:rsid w:val="003C40C1"/>
    <w:rsid w:val="003C6C16"/>
    <w:rsid w:val="003D28E4"/>
    <w:rsid w:val="003D794D"/>
    <w:rsid w:val="003E3058"/>
    <w:rsid w:val="003E75DA"/>
    <w:rsid w:val="003E76A9"/>
    <w:rsid w:val="003F0809"/>
    <w:rsid w:val="003F6A8C"/>
    <w:rsid w:val="003F755C"/>
    <w:rsid w:val="00405199"/>
    <w:rsid w:val="00406F01"/>
    <w:rsid w:val="00414B04"/>
    <w:rsid w:val="00414F82"/>
    <w:rsid w:val="00416D50"/>
    <w:rsid w:val="00416FD5"/>
    <w:rsid w:val="00417772"/>
    <w:rsid w:val="00420E6A"/>
    <w:rsid w:val="00421283"/>
    <w:rsid w:val="00425A9E"/>
    <w:rsid w:val="00426D6B"/>
    <w:rsid w:val="00427849"/>
    <w:rsid w:val="00431E6C"/>
    <w:rsid w:val="00433CE7"/>
    <w:rsid w:val="00436C7D"/>
    <w:rsid w:val="0044020A"/>
    <w:rsid w:val="00452738"/>
    <w:rsid w:val="00455538"/>
    <w:rsid w:val="00456091"/>
    <w:rsid w:val="00460FC9"/>
    <w:rsid w:val="00466321"/>
    <w:rsid w:val="0047251D"/>
    <w:rsid w:val="00473062"/>
    <w:rsid w:val="004739DE"/>
    <w:rsid w:val="00476EA3"/>
    <w:rsid w:val="00483E42"/>
    <w:rsid w:val="004841DE"/>
    <w:rsid w:val="00484B9B"/>
    <w:rsid w:val="004850F8"/>
    <w:rsid w:val="004855F6"/>
    <w:rsid w:val="0048661E"/>
    <w:rsid w:val="004901E0"/>
    <w:rsid w:val="00494670"/>
    <w:rsid w:val="004A06DC"/>
    <w:rsid w:val="004A3823"/>
    <w:rsid w:val="004B515D"/>
    <w:rsid w:val="004C7529"/>
    <w:rsid w:val="004D3549"/>
    <w:rsid w:val="004D57AB"/>
    <w:rsid w:val="004D7524"/>
    <w:rsid w:val="004E09C8"/>
    <w:rsid w:val="004E6946"/>
    <w:rsid w:val="004F1AD8"/>
    <w:rsid w:val="004F1EC7"/>
    <w:rsid w:val="004F2714"/>
    <w:rsid w:val="005010E2"/>
    <w:rsid w:val="005039CB"/>
    <w:rsid w:val="0050558F"/>
    <w:rsid w:val="00506286"/>
    <w:rsid w:val="00510813"/>
    <w:rsid w:val="00511990"/>
    <w:rsid w:val="00511DE0"/>
    <w:rsid w:val="00514870"/>
    <w:rsid w:val="00514B9B"/>
    <w:rsid w:val="00516D68"/>
    <w:rsid w:val="00517F02"/>
    <w:rsid w:val="00524303"/>
    <w:rsid w:val="005258A2"/>
    <w:rsid w:val="00526EED"/>
    <w:rsid w:val="0053620D"/>
    <w:rsid w:val="005366FC"/>
    <w:rsid w:val="005368F4"/>
    <w:rsid w:val="005401AE"/>
    <w:rsid w:val="00542E07"/>
    <w:rsid w:val="00543DF5"/>
    <w:rsid w:val="00545424"/>
    <w:rsid w:val="00550DF8"/>
    <w:rsid w:val="00554A7B"/>
    <w:rsid w:val="0055572C"/>
    <w:rsid w:val="0056106A"/>
    <w:rsid w:val="00571511"/>
    <w:rsid w:val="005720AE"/>
    <w:rsid w:val="00573067"/>
    <w:rsid w:val="0057576B"/>
    <w:rsid w:val="005842CD"/>
    <w:rsid w:val="00593823"/>
    <w:rsid w:val="00594D77"/>
    <w:rsid w:val="005969E4"/>
    <w:rsid w:val="005A06B7"/>
    <w:rsid w:val="005A0D88"/>
    <w:rsid w:val="005A1759"/>
    <w:rsid w:val="005A68A7"/>
    <w:rsid w:val="005B36E5"/>
    <w:rsid w:val="005C181F"/>
    <w:rsid w:val="005C7A4F"/>
    <w:rsid w:val="005D2998"/>
    <w:rsid w:val="005D36AB"/>
    <w:rsid w:val="005D481E"/>
    <w:rsid w:val="005F05CF"/>
    <w:rsid w:val="005F36DE"/>
    <w:rsid w:val="005F43C8"/>
    <w:rsid w:val="005F5F6E"/>
    <w:rsid w:val="0060340D"/>
    <w:rsid w:val="00612F30"/>
    <w:rsid w:val="00617CC3"/>
    <w:rsid w:val="00623B80"/>
    <w:rsid w:val="006249CE"/>
    <w:rsid w:val="00627A24"/>
    <w:rsid w:val="006355A7"/>
    <w:rsid w:val="006377A6"/>
    <w:rsid w:val="00637A3D"/>
    <w:rsid w:val="006411EF"/>
    <w:rsid w:val="006465C6"/>
    <w:rsid w:val="006543E8"/>
    <w:rsid w:val="006748B8"/>
    <w:rsid w:val="006751BF"/>
    <w:rsid w:val="0067644F"/>
    <w:rsid w:val="006775C3"/>
    <w:rsid w:val="006827D1"/>
    <w:rsid w:val="00686AE4"/>
    <w:rsid w:val="0069290A"/>
    <w:rsid w:val="00693C5D"/>
    <w:rsid w:val="0069775A"/>
    <w:rsid w:val="00697813"/>
    <w:rsid w:val="006A3131"/>
    <w:rsid w:val="006A32C6"/>
    <w:rsid w:val="006A3EE8"/>
    <w:rsid w:val="006A72BF"/>
    <w:rsid w:val="006B03F2"/>
    <w:rsid w:val="006B37DC"/>
    <w:rsid w:val="006B4F68"/>
    <w:rsid w:val="006C0592"/>
    <w:rsid w:val="006C272E"/>
    <w:rsid w:val="006C4AF3"/>
    <w:rsid w:val="006C5479"/>
    <w:rsid w:val="006D0A4D"/>
    <w:rsid w:val="006D13B5"/>
    <w:rsid w:val="006D5CAE"/>
    <w:rsid w:val="006E12FF"/>
    <w:rsid w:val="006E2F94"/>
    <w:rsid w:val="006E3D81"/>
    <w:rsid w:val="006E607E"/>
    <w:rsid w:val="006F0CB3"/>
    <w:rsid w:val="006F6D4B"/>
    <w:rsid w:val="006F7AD8"/>
    <w:rsid w:val="00706C5D"/>
    <w:rsid w:val="007225BE"/>
    <w:rsid w:val="0072299D"/>
    <w:rsid w:val="00725CEF"/>
    <w:rsid w:val="00732922"/>
    <w:rsid w:val="00735D6A"/>
    <w:rsid w:val="0074339C"/>
    <w:rsid w:val="0075162E"/>
    <w:rsid w:val="00754034"/>
    <w:rsid w:val="00756556"/>
    <w:rsid w:val="00756750"/>
    <w:rsid w:val="00756EAC"/>
    <w:rsid w:val="00761763"/>
    <w:rsid w:val="007618C4"/>
    <w:rsid w:val="0076400E"/>
    <w:rsid w:val="007642F3"/>
    <w:rsid w:val="00767980"/>
    <w:rsid w:val="00770B19"/>
    <w:rsid w:val="0077463F"/>
    <w:rsid w:val="007836EA"/>
    <w:rsid w:val="00784CDA"/>
    <w:rsid w:val="007906C4"/>
    <w:rsid w:val="0079173A"/>
    <w:rsid w:val="00793EA6"/>
    <w:rsid w:val="007940EA"/>
    <w:rsid w:val="007941B8"/>
    <w:rsid w:val="007967E8"/>
    <w:rsid w:val="007A0B6E"/>
    <w:rsid w:val="007A2170"/>
    <w:rsid w:val="007A22BF"/>
    <w:rsid w:val="007A3323"/>
    <w:rsid w:val="007A3932"/>
    <w:rsid w:val="007B72B8"/>
    <w:rsid w:val="007B7A58"/>
    <w:rsid w:val="007C21B5"/>
    <w:rsid w:val="007C4848"/>
    <w:rsid w:val="007E4BD2"/>
    <w:rsid w:val="007F6099"/>
    <w:rsid w:val="00801393"/>
    <w:rsid w:val="00802398"/>
    <w:rsid w:val="00802F88"/>
    <w:rsid w:val="00811B26"/>
    <w:rsid w:val="00811D21"/>
    <w:rsid w:val="0081293E"/>
    <w:rsid w:val="00815465"/>
    <w:rsid w:val="00817E9A"/>
    <w:rsid w:val="0082106A"/>
    <w:rsid w:val="00821DA6"/>
    <w:rsid w:val="008231D9"/>
    <w:rsid w:val="008275FE"/>
    <w:rsid w:val="008306BD"/>
    <w:rsid w:val="00831A80"/>
    <w:rsid w:val="00833743"/>
    <w:rsid w:val="008340A4"/>
    <w:rsid w:val="008654A8"/>
    <w:rsid w:val="00866C87"/>
    <w:rsid w:val="0087135F"/>
    <w:rsid w:val="00872D94"/>
    <w:rsid w:val="00880364"/>
    <w:rsid w:val="00891592"/>
    <w:rsid w:val="00891E9E"/>
    <w:rsid w:val="00893F3A"/>
    <w:rsid w:val="0089578D"/>
    <w:rsid w:val="008A2F68"/>
    <w:rsid w:val="008A4A2F"/>
    <w:rsid w:val="008A5A16"/>
    <w:rsid w:val="008A6C05"/>
    <w:rsid w:val="008B151C"/>
    <w:rsid w:val="008B4FA6"/>
    <w:rsid w:val="008B5282"/>
    <w:rsid w:val="008B7C17"/>
    <w:rsid w:val="008C087F"/>
    <w:rsid w:val="008C1606"/>
    <w:rsid w:val="008C2D01"/>
    <w:rsid w:val="008C40E6"/>
    <w:rsid w:val="008C6F69"/>
    <w:rsid w:val="008C7C5D"/>
    <w:rsid w:val="008D0F7A"/>
    <w:rsid w:val="008D424E"/>
    <w:rsid w:val="008D68E4"/>
    <w:rsid w:val="008D7A37"/>
    <w:rsid w:val="008E0506"/>
    <w:rsid w:val="008E0CFF"/>
    <w:rsid w:val="008E238A"/>
    <w:rsid w:val="008E3688"/>
    <w:rsid w:val="008E5D6B"/>
    <w:rsid w:val="008E6273"/>
    <w:rsid w:val="008E76F0"/>
    <w:rsid w:val="008F0321"/>
    <w:rsid w:val="008F15FE"/>
    <w:rsid w:val="008F2D29"/>
    <w:rsid w:val="008F339C"/>
    <w:rsid w:val="008F4A60"/>
    <w:rsid w:val="008F50F4"/>
    <w:rsid w:val="008F5187"/>
    <w:rsid w:val="008F5900"/>
    <w:rsid w:val="008F60D8"/>
    <w:rsid w:val="008F7E0A"/>
    <w:rsid w:val="00900261"/>
    <w:rsid w:val="00902727"/>
    <w:rsid w:val="0090312B"/>
    <w:rsid w:val="00910748"/>
    <w:rsid w:val="00916F33"/>
    <w:rsid w:val="0091736D"/>
    <w:rsid w:val="00926AA3"/>
    <w:rsid w:val="0093037A"/>
    <w:rsid w:val="009346FA"/>
    <w:rsid w:val="00935D77"/>
    <w:rsid w:val="00936EE7"/>
    <w:rsid w:val="0094154D"/>
    <w:rsid w:val="00942366"/>
    <w:rsid w:val="009468CC"/>
    <w:rsid w:val="0095155F"/>
    <w:rsid w:val="00952CDE"/>
    <w:rsid w:val="00954429"/>
    <w:rsid w:val="009563CE"/>
    <w:rsid w:val="00957E99"/>
    <w:rsid w:val="009666FD"/>
    <w:rsid w:val="00976328"/>
    <w:rsid w:val="0097680D"/>
    <w:rsid w:val="00982438"/>
    <w:rsid w:val="0098404C"/>
    <w:rsid w:val="00985283"/>
    <w:rsid w:val="0098780F"/>
    <w:rsid w:val="00994AC4"/>
    <w:rsid w:val="00994ADC"/>
    <w:rsid w:val="00995992"/>
    <w:rsid w:val="009A03E5"/>
    <w:rsid w:val="009A0F3B"/>
    <w:rsid w:val="009A1BB4"/>
    <w:rsid w:val="009A2628"/>
    <w:rsid w:val="009A3200"/>
    <w:rsid w:val="009A3917"/>
    <w:rsid w:val="009A7ED7"/>
    <w:rsid w:val="009B0897"/>
    <w:rsid w:val="009B24C7"/>
    <w:rsid w:val="009B7BD9"/>
    <w:rsid w:val="009C15B1"/>
    <w:rsid w:val="009C7DD5"/>
    <w:rsid w:val="009D5726"/>
    <w:rsid w:val="009E0E9B"/>
    <w:rsid w:val="009E227D"/>
    <w:rsid w:val="009E2F6D"/>
    <w:rsid w:val="009E5019"/>
    <w:rsid w:val="009F56E7"/>
    <w:rsid w:val="00A02C89"/>
    <w:rsid w:val="00A04F1B"/>
    <w:rsid w:val="00A0501B"/>
    <w:rsid w:val="00A14947"/>
    <w:rsid w:val="00A175F9"/>
    <w:rsid w:val="00A32A83"/>
    <w:rsid w:val="00A368DB"/>
    <w:rsid w:val="00A423AA"/>
    <w:rsid w:val="00A53EC6"/>
    <w:rsid w:val="00A54157"/>
    <w:rsid w:val="00A55C0F"/>
    <w:rsid w:val="00A6487B"/>
    <w:rsid w:val="00A64C2D"/>
    <w:rsid w:val="00A66AAA"/>
    <w:rsid w:val="00A73A63"/>
    <w:rsid w:val="00A81911"/>
    <w:rsid w:val="00A8302C"/>
    <w:rsid w:val="00A86BF5"/>
    <w:rsid w:val="00A8713F"/>
    <w:rsid w:val="00A90BA1"/>
    <w:rsid w:val="00A941DB"/>
    <w:rsid w:val="00A95670"/>
    <w:rsid w:val="00A97A9A"/>
    <w:rsid w:val="00AA0671"/>
    <w:rsid w:val="00AA2531"/>
    <w:rsid w:val="00AA314B"/>
    <w:rsid w:val="00AA47FE"/>
    <w:rsid w:val="00AA52EF"/>
    <w:rsid w:val="00AA73F9"/>
    <w:rsid w:val="00AB1E09"/>
    <w:rsid w:val="00AB328B"/>
    <w:rsid w:val="00AB3941"/>
    <w:rsid w:val="00AB5330"/>
    <w:rsid w:val="00AB7747"/>
    <w:rsid w:val="00AC0910"/>
    <w:rsid w:val="00AC14CE"/>
    <w:rsid w:val="00AC2A56"/>
    <w:rsid w:val="00AC49EE"/>
    <w:rsid w:val="00AD055E"/>
    <w:rsid w:val="00AD47A7"/>
    <w:rsid w:val="00AE50F7"/>
    <w:rsid w:val="00AE7A8F"/>
    <w:rsid w:val="00AF0CBF"/>
    <w:rsid w:val="00AF257F"/>
    <w:rsid w:val="00AF33CF"/>
    <w:rsid w:val="00AF4D50"/>
    <w:rsid w:val="00AF6179"/>
    <w:rsid w:val="00AF7575"/>
    <w:rsid w:val="00B1295A"/>
    <w:rsid w:val="00B1618A"/>
    <w:rsid w:val="00B17E8C"/>
    <w:rsid w:val="00B20A45"/>
    <w:rsid w:val="00B22C5C"/>
    <w:rsid w:val="00B24F30"/>
    <w:rsid w:val="00B31ABF"/>
    <w:rsid w:val="00B33BE3"/>
    <w:rsid w:val="00B516AB"/>
    <w:rsid w:val="00B53B5D"/>
    <w:rsid w:val="00B6055E"/>
    <w:rsid w:val="00B6317D"/>
    <w:rsid w:val="00B63686"/>
    <w:rsid w:val="00B65541"/>
    <w:rsid w:val="00B65545"/>
    <w:rsid w:val="00B67B63"/>
    <w:rsid w:val="00B74B63"/>
    <w:rsid w:val="00B7723F"/>
    <w:rsid w:val="00B80442"/>
    <w:rsid w:val="00B80534"/>
    <w:rsid w:val="00B8433C"/>
    <w:rsid w:val="00B87491"/>
    <w:rsid w:val="00B90790"/>
    <w:rsid w:val="00B94DCF"/>
    <w:rsid w:val="00BA29E9"/>
    <w:rsid w:val="00BA7142"/>
    <w:rsid w:val="00BB237C"/>
    <w:rsid w:val="00BB3754"/>
    <w:rsid w:val="00BB41A3"/>
    <w:rsid w:val="00BB492D"/>
    <w:rsid w:val="00BC32DC"/>
    <w:rsid w:val="00BC35B6"/>
    <w:rsid w:val="00BC55C5"/>
    <w:rsid w:val="00BC63EC"/>
    <w:rsid w:val="00BC7BF3"/>
    <w:rsid w:val="00BD1B51"/>
    <w:rsid w:val="00BD4596"/>
    <w:rsid w:val="00BD6041"/>
    <w:rsid w:val="00BE1405"/>
    <w:rsid w:val="00BE312D"/>
    <w:rsid w:val="00BE5D18"/>
    <w:rsid w:val="00BE5D6A"/>
    <w:rsid w:val="00BF1C20"/>
    <w:rsid w:val="00BF67E9"/>
    <w:rsid w:val="00BF7355"/>
    <w:rsid w:val="00C02A8E"/>
    <w:rsid w:val="00C10578"/>
    <w:rsid w:val="00C135BC"/>
    <w:rsid w:val="00C15C95"/>
    <w:rsid w:val="00C25186"/>
    <w:rsid w:val="00C2596A"/>
    <w:rsid w:val="00C27537"/>
    <w:rsid w:val="00C328FE"/>
    <w:rsid w:val="00C33507"/>
    <w:rsid w:val="00C34905"/>
    <w:rsid w:val="00C4409D"/>
    <w:rsid w:val="00C44E72"/>
    <w:rsid w:val="00C45A06"/>
    <w:rsid w:val="00C47E5B"/>
    <w:rsid w:val="00C52117"/>
    <w:rsid w:val="00C60583"/>
    <w:rsid w:val="00C61E4B"/>
    <w:rsid w:val="00C64BFF"/>
    <w:rsid w:val="00C704E9"/>
    <w:rsid w:val="00C70764"/>
    <w:rsid w:val="00C70D86"/>
    <w:rsid w:val="00C72135"/>
    <w:rsid w:val="00C75FC2"/>
    <w:rsid w:val="00C763C9"/>
    <w:rsid w:val="00C80057"/>
    <w:rsid w:val="00C81835"/>
    <w:rsid w:val="00C82232"/>
    <w:rsid w:val="00C82913"/>
    <w:rsid w:val="00C8603D"/>
    <w:rsid w:val="00C915FC"/>
    <w:rsid w:val="00C9351E"/>
    <w:rsid w:val="00C972B1"/>
    <w:rsid w:val="00CA2CCE"/>
    <w:rsid w:val="00CA43FD"/>
    <w:rsid w:val="00CA7EF8"/>
    <w:rsid w:val="00CB399D"/>
    <w:rsid w:val="00CB55DC"/>
    <w:rsid w:val="00CB5740"/>
    <w:rsid w:val="00CC489B"/>
    <w:rsid w:val="00CD2BCD"/>
    <w:rsid w:val="00CD3A4C"/>
    <w:rsid w:val="00CD52D2"/>
    <w:rsid w:val="00CE0287"/>
    <w:rsid w:val="00CE10E9"/>
    <w:rsid w:val="00CE2910"/>
    <w:rsid w:val="00CE5393"/>
    <w:rsid w:val="00CF24AE"/>
    <w:rsid w:val="00CF36BE"/>
    <w:rsid w:val="00CF6000"/>
    <w:rsid w:val="00D003F3"/>
    <w:rsid w:val="00D004D7"/>
    <w:rsid w:val="00D0364F"/>
    <w:rsid w:val="00D04885"/>
    <w:rsid w:val="00D05616"/>
    <w:rsid w:val="00D065C2"/>
    <w:rsid w:val="00D06834"/>
    <w:rsid w:val="00D10EFE"/>
    <w:rsid w:val="00D237F3"/>
    <w:rsid w:val="00D308ED"/>
    <w:rsid w:val="00D36D86"/>
    <w:rsid w:val="00D374F7"/>
    <w:rsid w:val="00D428AA"/>
    <w:rsid w:val="00D42FB1"/>
    <w:rsid w:val="00D50A34"/>
    <w:rsid w:val="00D538E3"/>
    <w:rsid w:val="00D53911"/>
    <w:rsid w:val="00D53EFA"/>
    <w:rsid w:val="00D57D6A"/>
    <w:rsid w:val="00D61178"/>
    <w:rsid w:val="00D72025"/>
    <w:rsid w:val="00D72841"/>
    <w:rsid w:val="00D73753"/>
    <w:rsid w:val="00D77194"/>
    <w:rsid w:val="00D862D7"/>
    <w:rsid w:val="00D87D47"/>
    <w:rsid w:val="00D94A7C"/>
    <w:rsid w:val="00D95896"/>
    <w:rsid w:val="00D96825"/>
    <w:rsid w:val="00DA0715"/>
    <w:rsid w:val="00DA32CB"/>
    <w:rsid w:val="00DA539A"/>
    <w:rsid w:val="00DB2593"/>
    <w:rsid w:val="00DB2983"/>
    <w:rsid w:val="00DB59F0"/>
    <w:rsid w:val="00DC1257"/>
    <w:rsid w:val="00DC3DC0"/>
    <w:rsid w:val="00DC5B2B"/>
    <w:rsid w:val="00DC6AC3"/>
    <w:rsid w:val="00DD318D"/>
    <w:rsid w:val="00DD4862"/>
    <w:rsid w:val="00DD771B"/>
    <w:rsid w:val="00DE1D8F"/>
    <w:rsid w:val="00DE51F2"/>
    <w:rsid w:val="00DE7652"/>
    <w:rsid w:val="00DF0873"/>
    <w:rsid w:val="00DF2E12"/>
    <w:rsid w:val="00DF514A"/>
    <w:rsid w:val="00DF517B"/>
    <w:rsid w:val="00DF6690"/>
    <w:rsid w:val="00DF6804"/>
    <w:rsid w:val="00E0358D"/>
    <w:rsid w:val="00E04323"/>
    <w:rsid w:val="00E065B6"/>
    <w:rsid w:val="00E070A2"/>
    <w:rsid w:val="00E13392"/>
    <w:rsid w:val="00E15BBB"/>
    <w:rsid w:val="00E2345F"/>
    <w:rsid w:val="00E2620B"/>
    <w:rsid w:val="00E26357"/>
    <w:rsid w:val="00E2656A"/>
    <w:rsid w:val="00E26CBD"/>
    <w:rsid w:val="00E356AC"/>
    <w:rsid w:val="00E412D0"/>
    <w:rsid w:val="00E51DB1"/>
    <w:rsid w:val="00E56322"/>
    <w:rsid w:val="00E60982"/>
    <w:rsid w:val="00E62A61"/>
    <w:rsid w:val="00E62C62"/>
    <w:rsid w:val="00E64774"/>
    <w:rsid w:val="00E654C1"/>
    <w:rsid w:val="00E65D97"/>
    <w:rsid w:val="00E662F8"/>
    <w:rsid w:val="00E7228F"/>
    <w:rsid w:val="00E72A5A"/>
    <w:rsid w:val="00E73354"/>
    <w:rsid w:val="00E9242D"/>
    <w:rsid w:val="00EB1D57"/>
    <w:rsid w:val="00EB5255"/>
    <w:rsid w:val="00EB5C47"/>
    <w:rsid w:val="00EC19CE"/>
    <w:rsid w:val="00EC712D"/>
    <w:rsid w:val="00ED0639"/>
    <w:rsid w:val="00ED64F3"/>
    <w:rsid w:val="00EF4755"/>
    <w:rsid w:val="00EF7135"/>
    <w:rsid w:val="00F00F1F"/>
    <w:rsid w:val="00F027DB"/>
    <w:rsid w:val="00F12D3F"/>
    <w:rsid w:val="00F14A7A"/>
    <w:rsid w:val="00F17157"/>
    <w:rsid w:val="00F22985"/>
    <w:rsid w:val="00F30249"/>
    <w:rsid w:val="00F3383E"/>
    <w:rsid w:val="00F366BE"/>
    <w:rsid w:val="00F457D9"/>
    <w:rsid w:val="00F465A7"/>
    <w:rsid w:val="00F465FF"/>
    <w:rsid w:val="00F50B7C"/>
    <w:rsid w:val="00F5480E"/>
    <w:rsid w:val="00F5482F"/>
    <w:rsid w:val="00F550E6"/>
    <w:rsid w:val="00F623A2"/>
    <w:rsid w:val="00F631BF"/>
    <w:rsid w:val="00F70BF8"/>
    <w:rsid w:val="00F74345"/>
    <w:rsid w:val="00F7498D"/>
    <w:rsid w:val="00F77A3D"/>
    <w:rsid w:val="00F80A0A"/>
    <w:rsid w:val="00F82B19"/>
    <w:rsid w:val="00F82FAA"/>
    <w:rsid w:val="00F90598"/>
    <w:rsid w:val="00F9212D"/>
    <w:rsid w:val="00F965DA"/>
    <w:rsid w:val="00FA406A"/>
    <w:rsid w:val="00FB1CF8"/>
    <w:rsid w:val="00FB503A"/>
    <w:rsid w:val="00FB516C"/>
    <w:rsid w:val="00FC1BFC"/>
    <w:rsid w:val="00FC7900"/>
    <w:rsid w:val="00FD0236"/>
    <w:rsid w:val="00FD0254"/>
    <w:rsid w:val="00FD18F4"/>
    <w:rsid w:val="00FD3593"/>
    <w:rsid w:val="00FD54DB"/>
    <w:rsid w:val="00FD619F"/>
    <w:rsid w:val="00FE1B36"/>
    <w:rsid w:val="00FE4994"/>
    <w:rsid w:val="01290F7E"/>
    <w:rsid w:val="015D1E09"/>
    <w:rsid w:val="01F004D4"/>
    <w:rsid w:val="01F147A7"/>
    <w:rsid w:val="02556999"/>
    <w:rsid w:val="02622AC1"/>
    <w:rsid w:val="02697903"/>
    <w:rsid w:val="02914EED"/>
    <w:rsid w:val="02AA4165"/>
    <w:rsid w:val="02F96569"/>
    <w:rsid w:val="032005FA"/>
    <w:rsid w:val="03245016"/>
    <w:rsid w:val="034A4A6F"/>
    <w:rsid w:val="03EA7B21"/>
    <w:rsid w:val="03FB0103"/>
    <w:rsid w:val="03FF02F9"/>
    <w:rsid w:val="046656E5"/>
    <w:rsid w:val="04877702"/>
    <w:rsid w:val="051F37CF"/>
    <w:rsid w:val="0568649F"/>
    <w:rsid w:val="05D54EE3"/>
    <w:rsid w:val="05D745A5"/>
    <w:rsid w:val="05F83EAE"/>
    <w:rsid w:val="063E7D85"/>
    <w:rsid w:val="06E344E4"/>
    <w:rsid w:val="06E619E6"/>
    <w:rsid w:val="0715794B"/>
    <w:rsid w:val="07293586"/>
    <w:rsid w:val="07295285"/>
    <w:rsid w:val="07636392"/>
    <w:rsid w:val="07770C56"/>
    <w:rsid w:val="07E9693F"/>
    <w:rsid w:val="07FB690C"/>
    <w:rsid w:val="084763AB"/>
    <w:rsid w:val="086E4E94"/>
    <w:rsid w:val="089E6C7A"/>
    <w:rsid w:val="09064646"/>
    <w:rsid w:val="092217DD"/>
    <w:rsid w:val="093A7294"/>
    <w:rsid w:val="0A136134"/>
    <w:rsid w:val="0A263993"/>
    <w:rsid w:val="0A2D3AC2"/>
    <w:rsid w:val="0AA755DF"/>
    <w:rsid w:val="0ABA6CC2"/>
    <w:rsid w:val="0AE2452A"/>
    <w:rsid w:val="0AEC04B2"/>
    <w:rsid w:val="0AFE2D22"/>
    <w:rsid w:val="0B120D44"/>
    <w:rsid w:val="0B4D2356"/>
    <w:rsid w:val="0B4F0252"/>
    <w:rsid w:val="0BAD4258"/>
    <w:rsid w:val="0BD27BF6"/>
    <w:rsid w:val="0C3B3C7D"/>
    <w:rsid w:val="0CAB2EAE"/>
    <w:rsid w:val="0CC46DD1"/>
    <w:rsid w:val="0D621C7D"/>
    <w:rsid w:val="0DAE060B"/>
    <w:rsid w:val="0DB45E8D"/>
    <w:rsid w:val="0E034964"/>
    <w:rsid w:val="0E0736D5"/>
    <w:rsid w:val="0E25039E"/>
    <w:rsid w:val="0E73034D"/>
    <w:rsid w:val="0EBE6C0C"/>
    <w:rsid w:val="0EBF2300"/>
    <w:rsid w:val="0EF47306"/>
    <w:rsid w:val="0F13775A"/>
    <w:rsid w:val="0F3C1E1A"/>
    <w:rsid w:val="0F4536CA"/>
    <w:rsid w:val="0F5F45FE"/>
    <w:rsid w:val="0F77503D"/>
    <w:rsid w:val="0F8273FC"/>
    <w:rsid w:val="0F935320"/>
    <w:rsid w:val="0F9A112B"/>
    <w:rsid w:val="0FA55AA7"/>
    <w:rsid w:val="102054A9"/>
    <w:rsid w:val="104F4966"/>
    <w:rsid w:val="106D2F64"/>
    <w:rsid w:val="10B63710"/>
    <w:rsid w:val="10F10820"/>
    <w:rsid w:val="10FA52B5"/>
    <w:rsid w:val="111872D5"/>
    <w:rsid w:val="111C2F7A"/>
    <w:rsid w:val="11217D55"/>
    <w:rsid w:val="11665CA1"/>
    <w:rsid w:val="116B3DF5"/>
    <w:rsid w:val="11F25DEB"/>
    <w:rsid w:val="121761E3"/>
    <w:rsid w:val="12257E18"/>
    <w:rsid w:val="127E7A06"/>
    <w:rsid w:val="12B25075"/>
    <w:rsid w:val="12C23C67"/>
    <w:rsid w:val="13951726"/>
    <w:rsid w:val="13C001E7"/>
    <w:rsid w:val="13D73F41"/>
    <w:rsid w:val="13E45108"/>
    <w:rsid w:val="14396509"/>
    <w:rsid w:val="14854A8F"/>
    <w:rsid w:val="14DD2C3C"/>
    <w:rsid w:val="150459A6"/>
    <w:rsid w:val="15251257"/>
    <w:rsid w:val="15576544"/>
    <w:rsid w:val="15774DFE"/>
    <w:rsid w:val="158B682D"/>
    <w:rsid w:val="15902B9E"/>
    <w:rsid w:val="15926F1B"/>
    <w:rsid w:val="15A65F90"/>
    <w:rsid w:val="15B417BF"/>
    <w:rsid w:val="15B821FC"/>
    <w:rsid w:val="15E1378B"/>
    <w:rsid w:val="15E5442D"/>
    <w:rsid w:val="16087E1D"/>
    <w:rsid w:val="16750569"/>
    <w:rsid w:val="16831E6A"/>
    <w:rsid w:val="17206386"/>
    <w:rsid w:val="17506120"/>
    <w:rsid w:val="175E71D9"/>
    <w:rsid w:val="17701D14"/>
    <w:rsid w:val="17735226"/>
    <w:rsid w:val="178C1E8B"/>
    <w:rsid w:val="17A040F3"/>
    <w:rsid w:val="183903E0"/>
    <w:rsid w:val="184D669D"/>
    <w:rsid w:val="185C205E"/>
    <w:rsid w:val="1898345E"/>
    <w:rsid w:val="189F624C"/>
    <w:rsid w:val="18D42191"/>
    <w:rsid w:val="19397B7C"/>
    <w:rsid w:val="1A170337"/>
    <w:rsid w:val="1A1C66C0"/>
    <w:rsid w:val="1A297595"/>
    <w:rsid w:val="1A42393B"/>
    <w:rsid w:val="1AAD45DE"/>
    <w:rsid w:val="1ACF4E52"/>
    <w:rsid w:val="1B046F80"/>
    <w:rsid w:val="1B3267B5"/>
    <w:rsid w:val="1B40161D"/>
    <w:rsid w:val="1B441859"/>
    <w:rsid w:val="1B565CEF"/>
    <w:rsid w:val="1B6606B1"/>
    <w:rsid w:val="1B71266E"/>
    <w:rsid w:val="1B8D3065"/>
    <w:rsid w:val="1B8D7162"/>
    <w:rsid w:val="1BC40FAD"/>
    <w:rsid w:val="1BCD0D24"/>
    <w:rsid w:val="1BED4C6F"/>
    <w:rsid w:val="1BFE0F5B"/>
    <w:rsid w:val="1C5E7925"/>
    <w:rsid w:val="1CB934B8"/>
    <w:rsid w:val="1CFD070F"/>
    <w:rsid w:val="1D2E41D2"/>
    <w:rsid w:val="1D5F6196"/>
    <w:rsid w:val="1D6132A5"/>
    <w:rsid w:val="1D8E56D5"/>
    <w:rsid w:val="1D99133D"/>
    <w:rsid w:val="1DA75A73"/>
    <w:rsid w:val="1E7A43DA"/>
    <w:rsid w:val="1EC423AC"/>
    <w:rsid w:val="1F984C79"/>
    <w:rsid w:val="1FB34925"/>
    <w:rsid w:val="1FE7539E"/>
    <w:rsid w:val="1FFD73B8"/>
    <w:rsid w:val="20604CAC"/>
    <w:rsid w:val="20671BE0"/>
    <w:rsid w:val="20963CB8"/>
    <w:rsid w:val="20A81A1B"/>
    <w:rsid w:val="20B07FB6"/>
    <w:rsid w:val="20B646FB"/>
    <w:rsid w:val="20FF4AC7"/>
    <w:rsid w:val="213B74B1"/>
    <w:rsid w:val="213E4385"/>
    <w:rsid w:val="215A2310"/>
    <w:rsid w:val="215F0419"/>
    <w:rsid w:val="217E6E17"/>
    <w:rsid w:val="2194661E"/>
    <w:rsid w:val="219E6AC3"/>
    <w:rsid w:val="21DE318A"/>
    <w:rsid w:val="21EF5B80"/>
    <w:rsid w:val="22415601"/>
    <w:rsid w:val="22576990"/>
    <w:rsid w:val="22CB6A71"/>
    <w:rsid w:val="22F47480"/>
    <w:rsid w:val="231C7524"/>
    <w:rsid w:val="232555FC"/>
    <w:rsid w:val="23286BE5"/>
    <w:rsid w:val="23452878"/>
    <w:rsid w:val="23DE1C48"/>
    <w:rsid w:val="240210CD"/>
    <w:rsid w:val="24160538"/>
    <w:rsid w:val="24446921"/>
    <w:rsid w:val="24BF09F7"/>
    <w:rsid w:val="24EB40B1"/>
    <w:rsid w:val="252D53FE"/>
    <w:rsid w:val="25976523"/>
    <w:rsid w:val="25EC2D81"/>
    <w:rsid w:val="2642309B"/>
    <w:rsid w:val="277057A2"/>
    <w:rsid w:val="28597C6F"/>
    <w:rsid w:val="29206EB8"/>
    <w:rsid w:val="29595666"/>
    <w:rsid w:val="29874881"/>
    <w:rsid w:val="298B22D6"/>
    <w:rsid w:val="29986F55"/>
    <w:rsid w:val="29E325E0"/>
    <w:rsid w:val="2A452503"/>
    <w:rsid w:val="2A4D75D6"/>
    <w:rsid w:val="2A906D4E"/>
    <w:rsid w:val="2B7003F4"/>
    <w:rsid w:val="2B7C0B45"/>
    <w:rsid w:val="2BA936A8"/>
    <w:rsid w:val="2C315A5A"/>
    <w:rsid w:val="2C4B1C25"/>
    <w:rsid w:val="2D6E5E92"/>
    <w:rsid w:val="2D9E56F5"/>
    <w:rsid w:val="2DB968BE"/>
    <w:rsid w:val="2DBF48C8"/>
    <w:rsid w:val="2DDC5B35"/>
    <w:rsid w:val="2DEE716C"/>
    <w:rsid w:val="2E415226"/>
    <w:rsid w:val="2E573AF8"/>
    <w:rsid w:val="2E5E3E57"/>
    <w:rsid w:val="2E667F96"/>
    <w:rsid w:val="2E8226AB"/>
    <w:rsid w:val="2E903895"/>
    <w:rsid w:val="2F515311"/>
    <w:rsid w:val="2F793095"/>
    <w:rsid w:val="2FD065E6"/>
    <w:rsid w:val="2FD96870"/>
    <w:rsid w:val="2FE74EC2"/>
    <w:rsid w:val="30580BC9"/>
    <w:rsid w:val="30824461"/>
    <w:rsid w:val="30EA6911"/>
    <w:rsid w:val="311E2ED7"/>
    <w:rsid w:val="315619EE"/>
    <w:rsid w:val="315C449C"/>
    <w:rsid w:val="31AF21AA"/>
    <w:rsid w:val="31B82709"/>
    <w:rsid w:val="31D05482"/>
    <w:rsid w:val="31ED762E"/>
    <w:rsid w:val="32177FCD"/>
    <w:rsid w:val="32292413"/>
    <w:rsid w:val="32400B34"/>
    <w:rsid w:val="32542282"/>
    <w:rsid w:val="329E6876"/>
    <w:rsid w:val="32AC2936"/>
    <w:rsid w:val="32CC23AC"/>
    <w:rsid w:val="32FE0D2B"/>
    <w:rsid w:val="33300327"/>
    <w:rsid w:val="333015F2"/>
    <w:rsid w:val="334B6320"/>
    <w:rsid w:val="33AC6B46"/>
    <w:rsid w:val="33B07DE5"/>
    <w:rsid w:val="33D934D4"/>
    <w:rsid w:val="33F25E8B"/>
    <w:rsid w:val="33FE2F6A"/>
    <w:rsid w:val="340857BA"/>
    <w:rsid w:val="340E07E5"/>
    <w:rsid w:val="34235BF7"/>
    <w:rsid w:val="34C24467"/>
    <w:rsid w:val="358C5FA8"/>
    <w:rsid w:val="35C15DF1"/>
    <w:rsid w:val="35E375C1"/>
    <w:rsid w:val="35FB269A"/>
    <w:rsid w:val="36074A7F"/>
    <w:rsid w:val="36923549"/>
    <w:rsid w:val="36B75FBF"/>
    <w:rsid w:val="36BD0C45"/>
    <w:rsid w:val="36EB0E64"/>
    <w:rsid w:val="374518E7"/>
    <w:rsid w:val="37AC6918"/>
    <w:rsid w:val="37E00298"/>
    <w:rsid w:val="38971A36"/>
    <w:rsid w:val="38B302F9"/>
    <w:rsid w:val="38B44BE6"/>
    <w:rsid w:val="38D63B68"/>
    <w:rsid w:val="38DF4DEC"/>
    <w:rsid w:val="38F12CD3"/>
    <w:rsid w:val="38F94775"/>
    <w:rsid w:val="390D22B1"/>
    <w:rsid w:val="392971ED"/>
    <w:rsid w:val="39325651"/>
    <w:rsid w:val="399B6E87"/>
    <w:rsid w:val="39B3691B"/>
    <w:rsid w:val="39D66E94"/>
    <w:rsid w:val="3A493086"/>
    <w:rsid w:val="3A872856"/>
    <w:rsid w:val="3AB52553"/>
    <w:rsid w:val="3AF25D81"/>
    <w:rsid w:val="3AFB02EE"/>
    <w:rsid w:val="3B043DFD"/>
    <w:rsid w:val="3B127945"/>
    <w:rsid w:val="3B3763D1"/>
    <w:rsid w:val="3BA97601"/>
    <w:rsid w:val="3BF85437"/>
    <w:rsid w:val="3C0C1A36"/>
    <w:rsid w:val="3C2F6E1E"/>
    <w:rsid w:val="3C4F64BA"/>
    <w:rsid w:val="3C610FBF"/>
    <w:rsid w:val="3CDA245A"/>
    <w:rsid w:val="3CF96B68"/>
    <w:rsid w:val="3D1E06B7"/>
    <w:rsid w:val="3D3C29BB"/>
    <w:rsid w:val="3D3F69ED"/>
    <w:rsid w:val="3D9E4259"/>
    <w:rsid w:val="3DB4567B"/>
    <w:rsid w:val="3DC84641"/>
    <w:rsid w:val="3E150650"/>
    <w:rsid w:val="3E5779D1"/>
    <w:rsid w:val="3E925D95"/>
    <w:rsid w:val="3EDA0523"/>
    <w:rsid w:val="3F64272E"/>
    <w:rsid w:val="3F8554DC"/>
    <w:rsid w:val="3F951CEA"/>
    <w:rsid w:val="3FBF4540"/>
    <w:rsid w:val="4009016A"/>
    <w:rsid w:val="407A6407"/>
    <w:rsid w:val="4162489E"/>
    <w:rsid w:val="416F34C4"/>
    <w:rsid w:val="41B70B22"/>
    <w:rsid w:val="41F2693D"/>
    <w:rsid w:val="41FB3FB8"/>
    <w:rsid w:val="4200449D"/>
    <w:rsid w:val="42023AE7"/>
    <w:rsid w:val="423A3BCC"/>
    <w:rsid w:val="424E57D2"/>
    <w:rsid w:val="425247E7"/>
    <w:rsid w:val="42560B6B"/>
    <w:rsid w:val="429B7E04"/>
    <w:rsid w:val="42B26C49"/>
    <w:rsid w:val="432E12AE"/>
    <w:rsid w:val="433A6FE6"/>
    <w:rsid w:val="43480868"/>
    <w:rsid w:val="4350713C"/>
    <w:rsid w:val="436653E0"/>
    <w:rsid w:val="43BC2487"/>
    <w:rsid w:val="43C4431A"/>
    <w:rsid w:val="4410200F"/>
    <w:rsid w:val="44627C51"/>
    <w:rsid w:val="448843C6"/>
    <w:rsid w:val="44964F8C"/>
    <w:rsid w:val="44B951CC"/>
    <w:rsid w:val="44CD14E0"/>
    <w:rsid w:val="44F20B0B"/>
    <w:rsid w:val="45143C0C"/>
    <w:rsid w:val="452E5F4C"/>
    <w:rsid w:val="452E780E"/>
    <w:rsid w:val="4536681B"/>
    <w:rsid w:val="455853D1"/>
    <w:rsid w:val="45612018"/>
    <w:rsid w:val="458946E9"/>
    <w:rsid w:val="45A47C0E"/>
    <w:rsid w:val="45B43C20"/>
    <w:rsid w:val="46167228"/>
    <w:rsid w:val="4627136F"/>
    <w:rsid w:val="4657692B"/>
    <w:rsid w:val="46577FD6"/>
    <w:rsid w:val="466F10EB"/>
    <w:rsid w:val="46BB5499"/>
    <w:rsid w:val="46CB50C2"/>
    <w:rsid w:val="46D955A7"/>
    <w:rsid w:val="46E16C81"/>
    <w:rsid w:val="46E64189"/>
    <w:rsid w:val="46EC69B4"/>
    <w:rsid w:val="47133957"/>
    <w:rsid w:val="47252843"/>
    <w:rsid w:val="47A07E0C"/>
    <w:rsid w:val="47C46C5B"/>
    <w:rsid w:val="482C0B92"/>
    <w:rsid w:val="48415D67"/>
    <w:rsid w:val="4870272E"/>
    <w:rsid w:val="48E55040"/>
    <w:rsid w:val="48EB602A"/>
    <w:rsid w:val="49860954"/>
    <w:rsid w:val="49B3440C"/>
    <w:rsid w:val="49CB5CD1"/>
    <w:rsid w:val="49DC7715"/>
    <w:rsid w:val="49EE3243"/>
    <w:rsid w:val="4A023139"/>
    <w:rsid w:val="4A393E04"/>
    <w:rsid w:val="4A4B64F1"/>
    <w:rsid w:val="4A7B576F"/>
    <w:rsid w:val="4AF561A9"/>
    <w:rsid w:val="4B8B6669"/>
    <w:rsid w:val="4C2D15E2"/>
    <w:rsid w:val="4C3F70EC"/>
    <w:rsid w:val="4C4A0649"/>
    <w:rsid w:val="4C766560"/>
    <w:rsid w:val="4C7C32C9"/>
    <w:rsid w:val="4C7E5ECA"/>
    <w:rsid w:val="4C876AA5"/>
    <w:rsid w:val="4CED1001"/>
    <w:rsid w:val="4D0E00FB"/>
    <w:rsid w:val="4D176606"/>
    <w:rsid w:val="4D2D7A84"/>
    <w:rsid w:val="4D523887"/>
    <w:rsid w:val="4D5A04A0"/>
    <w:rsid w:val="4DBD4991"/>
    <w:rsid w:val="4DD3786A"/>
    <w:rsid w:val="4DEC4FB0"/>
    <w:rsid w:val="4E075D8A"/>
    <w:rsid w:val="4E8E497C"/>
    <w:rsid w:val="4EC00FAD"/>
    <w:rsid w:val="4F9843DC"/>
    <w:rsid w:val="4FA71F95"/>
    <w:rsid w:val="4FC62A8C"/>
    <w:rsid w:val="4FE20F0D"/>
    <w:rsid w:val="4FE51552"/>
    <w:rsid w:val="4FEA68A3"/>
    <w:rsid w:val="50504C4B"/>
    <w:rsid w:val="50536C80"/>
    <w:rsid w:val="509C6E7C"/>
    <w:rsid w:val="50BB499F"/>
    <w:rsid w:val="50BC1E3E"/>
    <w:rsid w:val="50F677AF"/>
    <w:rsid w:val="51003799"/>
    <w:rsid w:val="513B27A7"/>
    <w:rsid w:val="5162104E"/>
    <w:rsid w:val="51E577A9"/>
    <w:rsid w:val="51F03A07"/>
    <w:rsid w:val="522723BE"/>
    <w:rsid w:val="52300453"/>
    <w:rsid w:val="526739B8"/>
    <w:rsid w:val="52677F9E"/>
    <w:rsid w:val="52FB0500"/>
    <w:rsid w:val="530E13C5"/>
    <w:rsid w:val="530E36AA"/>
    <w:rsid w:val="53A039CC"/>
    <w:rsid w:val="53A1505A"/>
    <w:rsid w:val="53CB2E41"/>
    <w:rsid w:val="54063E08"/>
    <w:rsid w:val="543437E8"/>
    <w:rsid w:val="546F5B3B"/>
    <w:rsid w:val="54F73313"/>
    <w:rsid w:val="54F80955"/>
    <w:rsid w:val="550D657E"/>
    <w:rsid w:val="555170A7"/>
    <w:rsid w:val="556B37E8"/>
    <w:rsid w:val="5587536D"/>
    <w:rsid w:val="559B174B"/>
    <w:rsid w:val="55B62C06"/>
    <w:rsid w:val="55CE0CF4"/>
    <w:rsid w:val="55F36D31"/>
    <w:rsid w:val="55F84379"/>
    <w:rsid w:val="56511A88"/>
    <w:rsid w:val="5687657E"/>
    <w:rsid w:val="56B22A9C"/>
    <w:rsid w:val="57206569"/>
    <w:rsid w:val="57B72A76"/>
    <w:rsid w:val="57C3426C"/>
    <w:rsid w:val="57CE1F93"/>
    <w:rsid w:val="57EA0470"/>
    <w:rsid w:val="588743D1"/>
    <w:rsid w:val="5887701A"/>
    <w:rsid w:val="588C4DEF"/>
    <w:rsid w:val="597F3E6F"/>
    <w:rsid w:val="59B95EEF"/>
    <w:rsid w:val="59C0439F"/>
    <w:rsid w:val="5A1235A1"/>
    <w:rsid w:val="5ABE2233"/>
    <w:rsid w:val="5AD342D6"/>
    <w:rsid w:val="5B2B52AA"/>
    <w:rsid w:val="5B490ACD"/>
    <w:rsid w:val="5B7B5BCA"/>
    <w:rsid w:val="5BDF5D95"/>
    <w:rsid w:val="5BFE7528"/>
    <w:rsid w:val="5C471696"/>
    <w:rsid w:val="5C8F5B00"/>
    <w:rsid w:val="5CF45D49"/>
    <w:rsid w:val="5D1D3A95"/>
    <w:rsid w:val="5D720B47"/>
    <w:rsid w:val="5D7D59CE"/>
    <w:rsid w:val="5E2467F1"/>
    <w:rsid w:val="5E34392C"/>
    <w:rsid w:val="5E5B742C"/>
    <w:rsid w:val="5E902215"/>
    <w:rsid w:val="5ED37BC3"/>
    <w:rsid w:val="5F1A2B43"/>
    <w:rsid w:val="5F425F12"/>
    <w:rsid w:val="5FB837BB"/>
    <w:rsid w:val="5FBB2BAC"/>
    <w:rsid w:val="5FE81F98"/>
    <w:rsid w:val="60161923"/>
    <w:rsid w:val="60CC405A"/>
    <w:rsid w:val="615E00F8"/>
    <w:rsid w:val="61C011D3"/>
    <w:rsid w:val="61D9195F"/>
    <w:rsid w:val="61E11AE8"/>
    <w:rsid w:val="61E215D8"/>
    <w:rsid w:val="621B3775"/>
    <w:rsid w:val="62364782"/>
    <w:rsid w:val="629F469C"/>
    <w:rsid w:val="62FD1CC8"/>
    <w:rsid w:val="632F1D78"/>
    <w:rsid w:val="63812E90"/>
    <w:rsid w:val="6394356A"/>
    <w:rsid w:val="63C61B2C"/>
    <w:rsid w:val="63D40BE9"/>
    <w:rsid w:val="63DD45EC"/>
    <w:rsid w:val="63EE097C"/>
    <w:rsid w:val="64102431"/>
    <w:rsid w:val="64992DC0"/>
    <w:rsid w:val="64A5243A"/>
    <w:rsid w:val="64B646FD"/>
    <w:rsid w:val="64E324D8"/>
    <w:rsid w:val="64F434D6"/>
    <w:rsid w:val="64F531DE"/>
    <w:rsid w:val="65373578"/>
    <w:rsid w:val="65D47DB1"/>
    <w:rsid w:val="665412AD"/>
    <w:rsid w:val="6685157F"/>
    <w:rsid w:val="668E7182"/>
    <w:rsid w:val="66930CD1"/>
    <w:rsid w:val="66F502DF"/>
    <w:rsid w:val="671F124A"/>
    <w:rsid w:val="674002E6"/>
    <w:rsid w:val="677A33C6"/>
    <w:rsid w:val="678B4517"/>
    <w:rsid w:val="680C766F"/>
    <w:rsid w:val="681F6961"/>
    <w:rsid w:val="682831DF"/>
    <w:rsid w:val="68610A2F"/>
    <w:rsid w:val="68805514"/>
    <w:rsid w:val="690153C6"/>
    <w:rsid w:val="69316E2F"/>
    <w:rsid w:val="694E2071"/>
    <w:rsid w:val="69766163"/>
    <w:rsid w:val="697A3B33"/>
    <w:rsid w:val="69D44760"/>
    <w:rsid w:val="69E37E77"/>
    <w:rsid w:val="6A3F0B4E"/>
    <w:rsid w:val="6A423EED"/>
    <w:rsid w:val="6A520EC7"/>
    <w:rsid w:val="6A5712D5"/>
    <w:rsid w:val="6A5F38C5"/>
    <w:rsid w:val="6A761EBE"/>
    <w:rsid w:val="6AF87E20"/>
    <w:rsid w:val="6B222AFA"/>
    <w:rsid w:val="6B322639"/>
    <w:rsid w:val="6C0C52F2"/>
    <w:rsid w:val="6C636C38"/>
    <w:rsid w:val="6C7A4C3C"/>
    <w:rsid w:val="6C80396A"/>
    <w:rsid w:val="6CB3482E"/>
    <w:rsid w:val="6D387BF6"/>
    <w:rsid w:val="6D6C218D"/>
    <w:rsid w:val="6DA30424"/>
    <w:rsid w:val="6DAF1220"/>
    <w:rsid w:val="6DB34098"/>
    <w:rsid w:val="6DB545B6"/>
    <w:rsid w:val="6DE02FB4"/>
    <w:rsid w:val="6DE433BB"/>
    <w:rsid w:val="6DF5149C"/>
    <w:rsid w:val="6E514CED"/>
    <w:rsid w:val="6EB563D5"/>
    <w:rsid w:val="6EB57CB4"/>
    <w:rsid w:val="6ED92677"/>
    <w:rsid w:val="6F225983"/>
    <w:rsid w:val="6F433511"/>
    <w:rsid w:val="6F5423FD"/>
    <w:rsid w:val="6F981730"/>
    <w:rsid w:val="6FED545A"/>
    <w:rsid w:val="6FF35BAE"/>
    <w:rsid w:val="6FFC5590"/>
    <w:rsid w:val="702578BB"/>
    <w:rsid w:val="706D1DD0"/>
    <w:rsid w:val="70817F8C"/>
    <w:rsid w:val="70856B87"/>
    <w:rsid w:val="70CA0A0D"/>
    <w:rsid w:val="70D527EE"/>
    <w:rsid w:val="70E346D0"/>
    <w:rsid w:val="71006DE2"/>
    <w:rsid w:val="715654FE"/>
    <w:rsid w:val="715B5300"/>
    <w:rsid w:val="7171284F"/>
    <w:rsid w:val="71D27F8A"/>
    <w:rsid w:val="71D56F36"/>
    <w:rsid w:val="722B3FFC"/>
    <w:rsid w:val="72465FEC"/>
    <w:rsid w:val="72553024"/>
    <w:rsid w:val="725546D5"/>
    <w:rsid w:val="729C6C13"/>
    <w:rsid w:val="72CF4813"/>
    <w:rsid w:val="73122968"/>
    <w:rsid w:val="731F5D5E"/>
    <w:rsid w:val="73711F1C"/>
    <w:rsid w:val="737F1678"/>
    <w:rsid w:val="73BD5B8D"/>
    <w:rsid w:val="73C51AD5"/>
    <w:rsid w:val="73C72B39"/>
    <w:rsid w:val="741E793C"/>
    <w:rsid w:val="745E3944"/>
    <w:rsid w:val="74AE0280"/>
    <w:rsid w:val="752403E1"/>
    <w:rsid w:val="752C13C5"/>
    <w:rsid w:val="755A4FFF"/>
    <w:rsid w:val="75603D7B"/>
    <w:rsid w:val="760F211E"/>
    <w:rsid w:val="76273B0D"/>
    <w:rsid w:val="7635099D"/>
    <w:rsid w:val="764126F5"/>
    <w:rsid w:val="765A7ED9"/>
    <w:rsid w:val="76905C3C"/>
    <w:rsid w:val="76D048C7"/>
    <w:rsid w:val="77133081"/>
    <w:rsid w:val="775641E5"/>
    <w:rsid w:val="77762421"/>
    <w:rsid w:val="7777382E"/>
    <w:rsid w:val="77B56B1F"/>
    <w:rsid w:val="780F09F4"/>
    <w:rsid w:val="78184C31"/>
    <w:rsid w:val="783012CC"/>
    <w:rsid w:val="784D0E6A"/>
    <w:rsid w:val="78A90480"/>
    <w:rsid w:val="792F40FE"/>
    <w:rsid w:val="795B614C"/>
    <w:rsid w:val="79611FDC"/>
    <w:rsid w:val="7A11100F"/>
    <w:rsid w:val="7A364017"/>
    <w:rsid w:val="7A8265E1"/>
    <w:rsid w:val="7AFF617D"/>
    <w:rsid w:val="7B0158D5"/>
    <w:rsid w:val="7B686D42"/>
    <w:rsid w:val="7B760553"/>
    <w:rsid w:val="7B841746"/>
    <w:rsid w:val="7BEA0DE2"/>
    <w:rsid w:val="7C204469"/>
    <w:rsid w:val="7C6C5AC7"/>
    <w:rsid w:val="7C6E3053"/>
    <w:rsid w:val="7CC6544B"/>
    <w:rsid w:val="7D0239FF"/>
    <w:rsid w:val="7D2E7CA1"/>
    <w:rsid w:val="7D5E40CD"/>
    <w:rsid w:val="7D84769D"/>
    <w:rsid w:val="7DAA644A"/>
    <w:rsid w:val="7DB20BDF"/>
    <w:rsid w:val="7DCD56F2"/>
    <w:rsid w:val="7F001CE7"/>
    <w:rsid w:val="7F7F3118"/>
    <w:rsid w:val="7FE03A9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nhideWhenUsed="0" w:uiPriority="1"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qFormat="1"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6">
    <w:name w:val="heading 4"/>
    <w:basedOn w:val="1"/>
    <w:next w:val="1"/>
    <w:qFormat/>
    <w:locked/>
    <w:uiPriority w:val="1"/>
    <w:pPr>
      <w:outlineLvl w:val="3"/>
    </w:pPr>
    <w:rPr>
      <w:rFonts w:ascii="宋体" w:hAnsi="宋体" w:cs="宋体"/>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hAnsi="Times New Roman" w:cs="宋体"/>
      <w:color w:val="000000"/>
      <w:sz w:val="24"/>
      <w:szCs w:val="24"/>
    </w:rPr>
  </w:style>
  <w:style w:type="paragraph" w:customStyle="1" w:styleId="3">
    <w:name w:val="纯文本1"/>
    <w:basedOn w:val="1"/>
    <w:qFormat/>
    <w:uiPriority w:val="0"/>
    <w:pPr>
      <w:adjustRightInd w:val="0"/>
    </w:pPr>
    <w:rPr>
      <w:rFonts w:ascii="宋体" w:hAnsi="Courier New"/>
      <w:szCs w:val="20"/>
    </w:rPr>
  </w:style>
  <w:style w:type="paragraph" w:styleId="4">
    <w:name w:val="List 3"/>
    <w:basedOn w:val="1"/>
    <w:qFormat/>
    <w:locked/>
    <w:uiPriority w:val="0"/>
    <w:pPr>
      <w:autoSpaceDE w:val="0"/>
      <w:autoSpaceDN w:val="0"/>
      <w:adjustRightInd w:val="0"/>
      <w:spacing w:line="288" w:lineRule="auto"/>
      <w:ind w:left="1260" w:hanging="420"/>
      <w:jc w:val="left"/>
      <w:textAlignment w:val="baseline"/>
    </w:pPr>
    <w:rPr>
      <w:kern w:val="0"/>
      <w:sz w:val="24"/>
    </w:rPr>
  </w:style>
  <w:style w:type="paragraph" w:styleId="7">
    <w:name w:val="E-mail Signature"/>
    <w:basedOn w:val="1"/>
    <w:next w:val="8"/>
    <w:qFormat/>
    <w:locked/>
    <w:uiPriority w:val="0"/>
  </w:style>
  <w:style w:type="paragraph" w:customStyle="1" w:styleId="8">
    <w:name w:val="文章"/>
    <w:basedOn w:val="9"/>
    <w:next w:val="10"/>
    <w:qFormat/>
    <w:uiPriority w:val="0"/>
    <w:pPr>
      <w:spacing w:beforeLines="50" w:afterLines="50" w:line="360" w:lineRule="auto"/>
      <w:ind w:left="0" w:leftChars="0" w:firstLine="480" w:firstLineChars="200"/>
    </w:pPr>
    <w:rPr>
      <w:rFonts w:ascii="宋体" w:hAnsi="宋体"/>
    </w:rPr>
  </w:style>
  <w:style w:type="paragraph" w:styleId="9">
    <w:name w:val="Body Text Indent"/>
    <w:basedOn w:val="1"/>
    <w:link w:val="34"/>
    <w:qFormat/>
    <w:uiPriority w:val="0"/>
    <w:pPr>
      <w:spacing w:after="120"/>
      <w:ind w:left="420" w:leftChars="200"/>
    </w:pPr>
    <w:rPr>
      <w:kern w:val="0"/>
      <w:sz w:val="24"/>
      <w:szCs w:val="20"/>
    </w:rPr>
  </w:style>
  <w:style w:type="paragraph" w:styleId="10">
    <w:name w:val="List"/>
    <w:basedOn w:val="1"/>
    <w:next w:val="11"/>
    <w:qFormat/>
    <w:locked/>
    <w:uiPriority w:val="0"/>
    <w:pPr>
      <w:adjustRightInd w:val="0"/>
      <w:spacing w:line="360" w:lineRule="auto"/>
      <w:ind w:left="-2" w:leftChars="-1" w:right="-108" w:rightChars="-45" w:firstLine="420" w:firstLineChars="200"/>
      <w:jc w:val="left"/>
      <w:textAlignment w:val="baseline"/>
    </w:pPr>
    <w:rPr>
      <w:rFonts w:ascii="黑体" w:eastAsia="黑体"/>
    </w:rPr>
  </w:style>
  <w:style w:type="paragraph" w:styleId="11">
    <w:name w:val="List Bullet 2"/>
    <w:basedOn w:val="1"/>
    <w:next w:val="12"/>
    <w:qFormat/>
    <w:locked/>
    <w:uiPriority w:val="0"/>
    <w:pPr>
      <w:numPr>
        <w:ilvl w:val="0"/>
        <w:numId w:val="1"/>
      </w:numPr>
    </w:pPr>
  </w:style>
  <w:style w:type="paragraph" w:customStyle="1" w:styleId="12">
    <w:name w:val="xl70"/>
    <w:basedOn w:val="1"/>
    <w:next w:val="13"/>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eastAsia="Arial Unicode MS"/>
      <w:sz w:val="22"/>
      <w:szCs w:val="22"/>
    </w:rPr>
  </w:style>
  <w:style w:type="paragraph" w:customStyle="1" w:styleId="13">
    <w:name w:val="正文缩进1"/>
    <w:basedOn w:val="1"/>
    <w:next w:val="14"/>
    <w:qFormat/>
    <w:uiPriority w:val="0"/>
    <w:pPr>
      <w:ind w:firstLine="420"/>
    </w:pPr>
    <w:rPr>
      <w:szCs w:val="20"/>
    </w:rPr>
  </w:style>
  <w:style w:type="paragraph" w:customStyle="1" w:styleId="14">
    <w:name w:val="td1"/>
    <w:basedOn w:val="1"/>
    <w:next w:val="1"/>
    <w:qFormat/>
    <w:uiPriority w:val="0"/>
    <w:pPr>
      <w:widowControl/>
      <w:spacing w:before="280" w:after="280" w:line="300" w:lineRule="atLeast"/>
      <w:ind w:firstLine="200"/>
    </w:pPr>
    <w:rPr>
      <w:color w:val="000000"/>
      <w:sz w:val="18"/>
    </w:rPr>
  </w:style>
  <w:style w:type="paragraph" w:styleId="15">
    <w:name w:val="Normal Indent"/>
    <w:basedOn w:val="1"/>
    <w:qFormat/>
    <w:locked/>
    <w:uiPriority w:val="0"/>
    <w:pPr>
      <w:ind w:firstLine="420"/>
    </w:pPr>
    <w:rPr>
      <w:rFonts w:eastAsia="仿宋_GB2312"/>
      <w:kern w:val="0"/>
      <w:szCs w:val="24"/>
    </w:rPr>
  </w:style>
  <w:style w:type="paragraph" w:styleId="16">
    <w:name w:val="caption"/>
    <w:basedOn w:val="1"/>
    <w:next w:val="1"/>
    <w:qFormat/>
    <w:locked/>
    <w:uiPriority w:val="0"/>
    <w:pPr>
      <w:jc w:val="center"/>
    </w:pPr>
    <w:rPr>
      <w:b/>
      <w:szCs w:val="20"/>
    </w:rPr>
  </w:style>
  <w:style w:type="paragraph" w:styleId="17">
    <w:name w:val="annotation text"/>
    <w:basedOn w:val="1"/>
    <w:link w:val="35"/>
    <w:semiHidden/>
    <w:qFormat/>
    <w:uiPriority w:val="0"/>
    <w:pPr>
      <w:jc w:val="left"/>
    </w:pPr>
    <w:rPr>
      <w:kern w:val="0"/>
      <w:sz w:val="24"/>
      <w:szCs w:val="20"/>
    </w:rPr>
  </w:style>
  <w:style w:type="paragraph" w:styleId="18">
    <w:name w:val="Body Text"/>
    <w:basedOn w:val="1"/>
    <w:link w:val="36"/>
    <w:qFormat/>
    <w:uiPriority w:val="0"/>
    <w:pPr>
      <w:widowControl/>
      <w:snapToGrid w:val="0"/>
      <w:spacing w:before="60" w:after="160" w:line="259" w:lineRule="auto"/>
      <w:ind w:right="113"/>
    </w:pPr>
    <w:rPr>
      <w:kern w:val="0"/>
      <w:sz w:val="18"/>
      <w:szCs w:val="20"/>
    </w:rPr>
  </w:style>
  <w:style w:type="paragraph" w:styleId="19">
    <w:name w:val="Plain Text"/>
    <w:basedOn w:val="1"/>
    <w:qFormat/>
    <w:locked/>
    <w:uiPriority w:val="0"/>
    <w:pPr>
      <w:tabs>
        <w:tab w:val="left" w:pos="58"/>
      </w:tabs>
      <w:adjustRightInd w:val="0"/>
      <w:snapToGrid w:val="0"/>
      <w:jc w:val="center"/>
    </w:pPr>
    <w:rPr>
      <w:rFonts w:ascii="宋体" w:hAnsi="宋体"/>
    </w:rPr>
  </w:style>
  <w:style w:type="paragraph" w:styleId="20">
    <w:name w:val="Date"/>
    <w:basedOn w:val="1"/>
    <w:next w:val="1"/>
    <w:link w:val="37"/>
    <w:qFormat/>
    <w:uiPriority w:val="0"/>
    <w:pPr>
      <w:ind w:left="100" w:leftChars="2500"/>
    </w:pPr>
    <w:rPr>
      <w:kern w:val="0"/>
      <w:sz w:val="24"/>
      <w:szCs w:val="20"/>
    </w:rPr>
  </w:style>
  <w:style w:type="paragraph" w:styleId="21">
    <w:name w:val="Balloon Text"/>
    <w:basedOn w:val="1"/>
    <w:link w:val="38"/>
    <w:semiHidden/>
    <w:qFormat/>
    <w:uiPriority w:val="0"/>
    <w:rPr>
      <w:kern w:val="0"/>
      <w:sz w:val="18"/>
      <w:szCs w:val="20"/>
    </w:rPr>
  </w:style>
  <w:style w:type="paragraph" w:styleId="22">
    <w:name w:val="footer"/>
    <w:basedOn w:val="1"/>
    <w:link w:val="39"/>
    <w:qFormat/>
    <w:uiPriority w:val="99"/>
    <w:pPr>
      <w:tabs>
        <w:tab w:val="center" w:pos="4153"/>
        <w:tab w:val="right" w:pos="8306"/>
      </w:tabs>
      <w:snapToGrid w:val="0"/>
      <w:jc w:val="left"/>
    </w:pPr>
    <w:rPr>
      <w:kern w:val="0"/>
      <w:sz w:val="18"/>
      <w:szCs w:val="20"/>
    </w:rPr>
  </w:style>
  <w:style w:type="paragraph" w:styleId="23">
    <w:name w:val="header"/>
    <w:basedOn w:val="1"/>
    <w:link w:val="40"/>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2"/>
    <w:basedOn w:val="1"/>
    <w:next w:val="7"/>
    <w:unhideWhenUsed/>
    <w:qFormat/>
    <w:locked/>
    <w:uiPriority w:val="39"/>
    <w:pPr>
      <w:spacing w:line="320" w:lineRule="exact"/>
    </w:pPr>
    <w:rPr>
      <w:rFonts w:ascii="宋体" w:hAnsi="宋体"/>
      <w:szCs w:val="22"/>
    </w:rPr>
  </w:style>
  <w:style w:type="paragraph" w:styleId="25">
    <w:name w:val="Normal (Web)"/>
    <w:basedOn w:val="1"/>
    <w:link w:val="41"/>
    <w:qFormat/>
    <w:uiPriority w:val="0"/>
    <w:pPr>
      <w:widowControl/>
      <w:spacing w:before="100" w:beforeAutospacing="1" w:after="100" w:afterAutospacing="1"/>
      <w:jc w:val="left"/>
    </w:pPr>
    <w:rPr>
      <w:rFonts w:ascii="宋体" w:hAnsi="宋体"/>
      <w:kern w:val="0"/>
      <w:sz w:val="24"/>
      <w:szCs w:val="20"/>
    </w:rPr>
  </w:style>
  <w:style w:type="paragraph" w:styleId="26">
    <w:name w:val="annotation subject"/>
    <w:basedOn w:val="17"/>
    <w:next w:val="17"/>
    <w:link w:val="42"/>
    <w:semiHidden/>
    <w:qFormat/>
    <w:uiPriority w:val="0"/>
    <w:rPr>
      <w:b/>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qFormat/>
    <w:locked/>
    <w:uiPriority w:val="0"/>
  </w:style>
  <w:style w:type="character" w:styleId="31">
    <w:name w:val="Emphasis"/>
    <w:qFormat/>
    <w:locked/>
    <w:uiPriority w:val="0"/>
    <w:rPr>
      <w:i/>
    </w:rPr>
  </w:style>
  <w:style w:type="character" w:styleId="32">
    <w:name w:val="Hyperlink"/>
    <w:qFormat/>
    <w:locked/>
    <w:uiPriority w:val="0"/>
    <w:rPr>
      <w:color w:val="0000FF"/>
      <w:u w:val="single"/>
    </w:rPr>
  </w:style>
  <w:style w:type="character" w:styleId="33">
    <w:name w:val="annotation reference"/>
    <w:semiHidden/>
    <w:qFormat/>
    <w:uiPriority w:val="0"/>
    <w:rPr>
      <w:sz w:val="21"/>
    </w:rPr>
  </w:style>
  <w:style w:type="character" w:customStyle="1" w:styleId="34">
    <w:name w:val="正文文本缩进 字符"/>
    <w:link w:val="9"/>
    <w:semiHidden/>
    <w:qFormat/>
    <w:locked/>
    <w:uiPriority w:val="0"/>
    <w:rPr>
      <w:rFonts w:ascii="Times New Roman" w:hAnsi="Times New Roman" w:eastAsia="宋体"/>
      <w:sz w:val="24"/>
    </w:rPr>
  </w:style>
  <w:style w:type="character" w:customStyle="1" w:styleId="35">
    <w:name w:val="批注文字 字符"/>
    <w:link w:val="17"/>
    <w:qFormat/>
    <w:locked/>
    <w:uiPriority w:val="0"/>
    <w:rPr>
      <w:rFonts w:ascii="Times New Roman" w:hAnsi="Times New Roman" w:eastAsia="宋体"/>
      <w:sz w:val="24"/>
    </w:rPr>
  </w:style>
  <w:style w:type="character" w:customStyle="1" w:styleId="36">
    <w:name w:val="正文文本 字符"/>
    <w:link w:val="18"/>
    <w:qFormat/>
    <w:locked/>
    <w:uiPriority w:val="0"/>
    <w:rPr>
      <w:sz w:val="18"/>
    </w:rPr>
  </w:style>
  <w:style w:type="character" w:customStyle="1" w:styleId="37">
    <w:name w:val="日期 字符1"/>
    <w:link w:val="20"/>
    <w:qFormat/>
    <w:locked/>
    <w:uiPriority w:val="0"/>
    <w:rPr>
      <w:rFonts w:ascii="Times New Roman" w:hAnsi="Times New Roman" w:eastAsia="宋体"/>
      <w:sz w:val="24"/>
    </w:rPr>
  </w:style>
  <w:style w:type="character" w:customStyle="1" w:styleId="38">
    <w:name w:val="批注框文本 字符"/>
    <w:link w:val="21"/>
    <w:semiHidden/>
    <w:qFormat/>
    <w:locked/>
    <w:uiPriority w:val="0"/>
    <w:rPr>
      <w:rFonts w:ascii="Times New Roman" w:hAnsi="Times New Roman" w:eastAsia="宋体"/>
      <w:sz w:val="18"/>
    </w:rPr>
  </w:style>
  <w:style w:type="character" w:customStyle="1" w:styleId="39">
    <w:name w:val="页脚 字符1"/>
    <w:link w:val="22"/>
    <w:qFormat/>
    <w:locked/>
    <w:uiPriority w:val="99"/>
    <w:rPr>
      <w:sz w:val="18"/>
    </w:rPr>
  </w:style>
  <w:style w:type="character" w:customStyle="1" w:styleId="40">
    <w:name w:val="页眉 字符"/>
    <w:link w:val="23"/>
    <w:qFormat/>
    <w:locked/>
    <w:uiPriority w:val="0"/>
    <w:rPr>
      <w:sz w:val="18"/>
    </w:rPr>
  </w:style>
  <w:style w:type="character" w:customStyle="1" w:styleId="41">
    <w:name w:val="普通(网站) 字符"/>
    <w:link w:val="25"/>
    <w:qFormat/>
    <w:locked/>
    <w:uiPriority w:val="0"/>
    <w:rPr>
      <w:rFonts w:ascii="宋体" w:hAnsi="宋体" w:eastAsia="宋体"/>
      <w:sz w:val="24"/>
    </w:rPr>
  </w:style>
  <w:style w:type="character" w:customStyle="1" w:styleId="42">
    <w:name w:val="批注主题 字符"/>
    <w:link w:val="26"/>
    <w:semiHidden/>
    <w:qFormat/>
    <w:locked/>
    <w:uiPriority w:val="0"/>
    <w:rPr>
      <w:rFonts w:ascii="Times New Roman" w:hAnsi="Times New Roman" w:eastAsia="宋体"/>
      <w:b/>
      <w:kern w:val="2"/>
      <w:sz w:val="24"/>
    </w:rPr>
  </w:style>
  <w:style w:type="paragraph" w:customStyle="1" w:styleId="43">
    <w:name w:val="样式 宋体 行距: 1.5 倍行距"/>
    <w:basedOn w:val="1"/>
    <w:qFormat/>
    <w:uiPriority w:val="0"/>
    <w:pPr>
      <w:jc w:val="center"/>
    </w:pPr>
    <w:rPr>
      <w:b/>
    </w:rPr>
  </w:style>
  <w:style w:type="paragraph" w:customStyle="1" w:styleId="44">
    <w:name w:val="样式35"/>
    <w:basedOn w:val="45"/>
    <w:next w:val="47"/>
    <w:qFormat/>
    <w:uiPriority w:val="0"/>
    <w:pPr>
      <w:keepNext w:val="0"/>
      <w:keepLines w:val="0"/>
      <w:adjustRightInd w:val="0"/>
      <w:spacing w:afterLines="0"/>
      <w:ind w:firstLine="1995" w:firstLineChars="950"/>
      <w:outlineLvl w:val="9"/>
    </w:pPr>
    <w:rPr>
      <w:rFonts w:ascii="黑体" w:hAnsi="宋体"/>
      <w:b w:val="0"/>
      <w:bCs w:val="0"/>
      <w:kern w:val="2"/>
      <w:sz w:val="21"/>
      <w:szCs w:val="21"/>
    </w:rPr>
  </w:style>
  <w:style w:type="paragraph" w:customStyle="1" w:styleId="45">
    <w:name w:val="样式8"/>
    <w:basedOn w:val="46"/>
    <w:qFormat/>
    <w:uiPriority w:val="0"/>
    <w:pPr>
      <w:spacing w:afterLines="50" w:line="360" w:lineRule="auto"/>
    </w:pPr>
    <w:rPr>
      <w:rFonts w:ascii="Calibri" w:cs="Times New Roman"/>
      <w:sz w:val="30"/>
      <w:szCs w:val="30"/>
    </w:rPr>
  </w:style>
  <w:style w:type="paragraph" w:customStyle="1" w:styleId="46">
    <w:name w:val="样式 标题 1标题 11一、 + Times New Roman 行距: 固定值 23 磅"/>
    <w:basedOn w:val="5"/>
    <w:qFormat/>
    <w:uiPriority w:val="0"/>
    <w:pPr>
      <w:keepLines/>
      <w:spacing w:line="460" w:lineRule="exact"/>
    </w:pPr>
    <w:rPr>
      <w:rFonts w:ascii="黑体" w:cs="宋体"/>
      <w:sz w:val="32"/>
      <w:szCs w:val="32"/>
    </w:rPr>
  </w:style>
  <w:style w:type="paragraph" w:customStyle="1" w:styleId="47">
    <w:name w:val="font6"/>
    <w:basedOn w:val="1"/>
    <w:next w:val="24"/>
    <w:qFormat/>
    <w:uiPriority w:val="0"/>
    <w:pPr>
      <w:widowControl/>
      <w:spacing w:before="100" w:beforeAutospacing="1" w:after="100" w:afterAutospacing="1"/>
      <w:jc w:val="left"/>
    </w:pPr>
    <w:rPr>
      <w:rFonts w:eastAsia="Arial Unicode MS"/>
    </w:rPr>
  </w:style>
  <w:style w:type="paragraph" w:customStyle="1" w:styleId="48">
    <w:name w:val="表 内容"/>
    <w:basedOn w:val="1"/>
    <w:qFormat/>
    <w:uiPriority w:val="0"/>
    <w:pPr>
      <w:spacing w:line="240" w:lineRule="atLeast"/>
      <w:jc w:val="center"/>
    </w:pPr>
  </w:style>
  <w:style w:type="character" w:customStyle="1" w:styleId="49">
    <w:name w:val="表格 Char Char"/>
    <w:qFormat/>
    <w:uiPriority w:val="0"/>
    <w:rPr>
      <w:szCs w:val="21"/>
    </w:rPr>
  </w:style>
  <w:style w:type="character" w:customStyle="1" w:styleId="50">
    <w:name w:val="页脚 字符"/>
    <w:qFormat/>
    <w:uiPriority w:val="99"/>
  </w:style>
  <w:style w:type="character" w:customStyle="1" w:styleId="51">
    <w:name w:val="正文文本 + MingLiU"/>
    <w:qFormat/>
    <w:uiPriority w:val="0"/>
    <w:rPr>
      <w:rFonts w:hint="eastAsia" w:ascii="MingLiU" w:hAnsi="MingLiU" w:eastAsia="MingLiU" w:cs="MingLiU"/>
      <w:color w:val="000000"/>
      <w:spacing w:val="210"/>
      <w:w w:val="100"/>
      <w:position w:val="0"/>
      <w:sz w:val="25"/>
      <w:szCs w:val="25"/>
      <w:shd w:val="clear" w:color="auto" w:fill="FFFFFF"/>
      <w:lang w:val="zh-TW"/>
    </w:rPr>
  </w:style>
  <w:style w:type="character" w:customStyle="1" w:styleId="52">
    <w:name w:val="日期 字符"/>
    <w:semiHidden/>
    <w:qFormat/>
    <w:uiPriority w:val="0"/>
    <w:rPr>
      <w:rFonts w:ascii="Times New Roman" w:hAnsi="Times New Roman" w:eastAsia="宋体"/>
      <w:sz w:val="24"/>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表格 Char"/>
    <w:link w:val="55"/>
    <w:qFormat/>
    <w:locked/>
    <w:uiPriority w:val="0"/>
    <w:rPr>
      <w:rFonts w:ascii="宋体"/>
      <w:sz w:val="21"/>
    </w:rPr>
  </w:style>
  <w:style w:type="paragraph" w:customStyle="1" w:styleId="55">
    <w:name w:val="表格"/>
    <w:basedOn w:val="15"/>
    <w:next w:val="1"/>
    <w:link w:val="54"/>
    <w:qFormat/>
    <w:uiPriority w:val="0"/>
    <w:pPr>
      <w:adjustRightInd w:val="0"/>
      <w:snapToGrid w:val="0"/>
      <w:spacing w:beforeLines="10" w:afterLines="10" w:line="259" w:lineRule="auto"/>
      <w:jc w:val="center"/>
    </w:pPr>
    <w:rPr>
      <w:rFonts w:ascii="宋体"/>
      <w:szCs w:val="20"/>
    </w:rPr>
  </w:style>
  <w:style w:type="character" w:customStyle="1" w:styleId="56">
    <w:name w:val="正文文本 字符1"/>
    <w:semiHidden/>
    <w:qFormat/>
    <w:uiPriority w:val="0"/>
    <w:rPr>
      <w:rFonts w:ascii="Times New Roman" w:hAnsi="Times New Roman" w:eastAsia="宋体"/>
      <w:sz w:val="24"/>
    </w:rPr>
  </w:style>
  <w:style w:type="paragraph" w:customStyle="1" w:styleId="57">
    <w:name w:val="p0"/>
    <w:basedOn w:val="1"/>
    <w:qFormat/>
    <w:uiPriority w:val="0"/>
    <w:pPr>
      <w:widowControl/>
    </w:pPr>
    <w:rPr>
      <w:kern w:val="0"/>
    </w:rPr>
  </w:style>
  <w:style w:type="paragraph" w:customStyle="1" w:styleId="58">
    <w:name w:val="B表格内容"/>
    <w:basedOn w:val="1"/>
    <w:qFormat/>
    <w:uiPriority w:val="0"/>
    <w:pPr>
      <w:jc w:val="center"/>
    </w:pPr>
    <w:rPr>
      <w:rFonts w:ascii="宋体" w:hAnsi="宋体"/>
      <w:color w:val="000000"/>
    </w:rPr>
  </w:style>
  <w:style w:type="paragraph" w:customStyle="1" w:styleId="59">
    <w:name w:val="我的正文"/>
    <w:basedOn w:val="1"/>
    <w:qFormat/>
    <w:uiPriority w:val="0"/>
    <w:pPr>
      <w:spacing w:line="440" w:lineRule="exact"/>
    </w:pPr>
    <w:rPr>
      <w:szCs w:val="20"/>
    </w:rPr>
  </w:style>
  <w:style w:type="paragraph" w:customStyle="1" w:styleId="6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报告正文"/>
    <w:basedOn w:val="1"/>
    <w:qFormat/>
    <w:uiPriority w:val="0"/>
    <w:pPr>
      <w:spacing w:before="156" w:after="156" w:line="360" w:lineRule="auto"/>
      <w:ind w:firstLine="482"/>
    </w:pPr>
  </w:style>
  <w:style w:type="paragraph" w:customStyle="1" w:styleId="62">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3">
    <w:name w:val="Table Paragraph"/>
    <w:basedOn w:val="1"/>
    <w:qFormat/>
    <w:uiPriority w:val="1"/>
    <w:pPr>
      <w:spacing w:line="272" w:lineRule="exact"/>
      <w:ind w:left="501"/>
      <w:jc w:val="center"/>
    </w:pPr>
    <w:rPr>
      <w:rFonts w:ascii="Microsoft JhengHei UI Light" w:hAnsi="Microsoft JhengHei UI Light" w:eastAsia="Microsoft JhengHei UI Light" w:cs="Microsoft JhengHei UI Light"/>
      <w:lang w:eastAsia="en-US"/>
    </w:rPr>
  </w:style>
  <w:style w:type="paragraph" w:customStyle="1" w:styleId="64">
    <w:name w:val="样式1"/>
    <w:basedOn w:val="1"/>
    <w:qFormat/>
    <w:uiPriority w:val="0"/>
    <w:pPr>
      <w:spacing w:line="600" w:lineRule="exact"/>
      <w:ind w:firstLine="560" w:firstLineChars="200"/>
      <w:jc w:val="left"/>
    </w:pPr>
    <w:rPr>
      <w:rFonts w:hAnsi="宋体"/>
      <w:sz w:val="28"/>
      <w:szCs w:val="28"/>
    </w:rPr>
  </w:style>
  <w:style w:type="paragraph" w:styleId="65">
    <w:name w:val="List Paragraph"/>
    <w:basedOn w:val="1"/>
    <w:qFormat/>
    <w:uiPriority w:val="0"/>
    <w:pPr>
      <w:ind w:firstLine="420" w:firstLineChars="200"/>
    </w:pPr>
    <w:rPr>
      <w:szCs w:val="24"/>
    </w:rPr>
  </w:style>
  <w:style w:type="paragraph" w:customStyle="1" w:styleId="66">
    <w:name w:val="表文字"/>
    <w:basedOn w:val="1"/>
    <w:qFormat/>
    <w:uiPriority w:val="0"/>
    <w:pPr>
      <w:overflowPunct w:val="0"/>
      <w:autoSpaceDE w:val="0"/>
      <w:autoSpaceDN w:val="0"/>
      <w:adjustRightInd w:val="0"/>
      <w:snapToGrid w:val="0"/>
      <w:jc w:val="center"/>
      <w:textAlignment w:val="baseline"/>
    </w:pPr>
    <w:rPr>
      <w:kern w:val="0"/>
    </w:rPr>
  </w:style>
  <w:style w:type="paragraph" w:customStyle="1" w:styleId="67">
    <w:name w:val="liang正文"/>
    <w:basedOn w:val="1"/>
    <w:qFormat/>
    <w:uiPriority w:val="0"/>
    <w:pPr>
      <w:adjustRightInd w:val="0"/>
      <w:snapToGrid w:val="0"/>
      <w:spacing w:line="360" w:lineRule="auto"/>
      <w:ind w:firstLine="480" w:firstLineChars="200"/>
    </w:pPr>
    <w:rPr>
      <w:rFonts w:ascii="宋体" w:hAnsi="宋体" w:cs="Arial"/>
      <w:sz w:val="24"/>
    </w:rPr>
  </w:style>
  <w:style w:type="paragraph" w:customStyle="1" w:styleId="68">
    <w:name w:val="AA正文"/>
    <w:basedOn w:val="1"/>
    <w:qFormat/>
    <w:uiPriority w:val="0"/>
    <w:pPr>
      <w:adjustRightInd w:val="0"/>
      <w:snapToGrid w:val="0"/>
      <w:spacing w:line="360" w:lineRule="auto"/>
      <w:ind w:firstLine="200" w:firstLineChars="200"/>
    </w:pPr>
    <w:rPr>
      <w:sz w:val="24"/>
    </w:rPr>
  </w:style>
  <w:style w:type="paragraph" w:customStyle="1" w:styleId="69">
    <w:name w:val="1表格"/>
    <w:basedOn w:val="1"/>
    <w:qFormat/>
    <w:uiPriority w:val="0"/>
    <w:pPr>
      <w:spacing w:line="240" w:lineRule="exact"/>
    </w:pPr>
    <w:rPr>
      <w:sz w:val="18"/>
    </w:rPr>
  </w:style>
  <w:style w:type="paragraph" w:customStyle="1" w:styleId="70">
    <w:name w:val="修订1"/>
    <w:unhideWhenUsed/>
    <w:qFormat/>
    <w:uiPriority w:val="99"/>
    <w:rPr>
      <w:rFonts w:ascii="Times New Roman" w:hAnsi="Times New Roman" w:eastAsia="宋体" w:cs="Times New Roman"/>
      <w:kern w:val="2"/>
      <w:sz w:val="21"/>
      <w:szCs w:val="24"/>
      <w:lang w:val="en-US" w:eastAsia="zh-CN" w:bidi="ar-SA"/>
    </w:rPr>
  </w:style>
  <w:style w:type="character" w:customStyle="1" w:styleId="71">
    <w:name w:val="font01"/>
    <w:qFormat/>
    <w:uiPriority w:val="0"/>
    <w:rPr>
      <w:rFonts w:hint="default" w:ascii="Times New Roman" w:hAnsi="Times New Roman" w:cs="Times New Roman"/>
      <w:color w:val="0000FF"/>
      <w:sz w:val="21"/>
      <w:szCs w:val="21"/>
      <w:u w:val="none"/>
    </w:rPr>
  </w:style>
  <w:style w:type="paragraph" w:customStyle="1" w:styleId="7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73">
    <w:name w:val="AA表格内容航宇"/>
    <w:basedOn w:val="1"/>
    <w:qFormat/>
    <w:uiPriority w:val="0"/>
    <w:pPr>
      <w:keepNext/>
      <w:adjustRightInd w:val="0"/>
      <w:snapToGrid w:val="0"/>
      <w:jc w:val="center"/>
    </w:pPr>
  </w:style>
  <w:style w:type="character" w:customStyle="1" w:styleId="74">
    <w:name w:val="font21"/>
    <w:qFormat/>
    <w:uiPriority w:val="0"/>
    <w:rPr>
      <w:rFonts w:hint="eastAsia" w:ascii="宋体" w:hAnsi="宋体" w:eastAsia="宋体"/>
      <w:color w:val="000000"/>
      <w:sz w:val="21"/>
      <w:szCs w:val="21"/>
      <w:u w:val="none"/>
    </w:rPr>
  </w:style>
  <w:style w:type="character" w:customStyle="1" w:styleId="75">
    <w:name w:val="font11"/>
    <w:qFormat/>
    <w:uiPriority w:val="0"/>
    <w:rPr>
      <w:rFonts w:hint="eastAsia" w:ascii="宋体" w:hAnsi="宋体" w:eastAsia="宋体"/>
      <w:color w:val="000000"/>
      <w:sz w:val="21"/>
      <w:szCs w:val="21"/>
      <w:u w:val="none"/>
    </w:rPr>
  </w:style>
  <w:style w:type="character" w:customStyle="1" w:styleId="76">
    <w:name w:val="font31"/>
    <w:qFormat/>
    <w:uiPriority w:val="0"/>
    <w:rPr>
      <w:rFonts w:hint="default" w:ascii="Times New Roman" w:hAnsi="Times New Roman" w:cs="Times New Roman"/>
      <w:color w:val="000000"/>
      <w:sz w:val="21"/>
      <w:szCs w:val="21"/>
      <w:u w:val="none"/>
    </w:rPr>
  </w:style>
  <w:style w:type="character" w:customStyle="1" w:styleId="77">
    <w:name w:val="font41"/>
    <w:qFormat/>
    <w:uiPriority w:val="0"/>
    <w:rPr>
      <w:rFonts w:hint="default" w:ascii="Times New Roman" w:hAnsi="Times New Roman" w:cs="Times New Roman"/>
      <w:color w:val="000000"/>
      <w:sz w:val="21"/>
      <w:szCs w:val="21"/>
      <w:u w:val="none"/>
    </w:rPr>
  </w:style>
  <w:style w:type="paragraph" w:customStyle="1" w:styleId="78">
    <w:name w:val="表格内容"/>
    <w:basedOn w:val="1"/>
    <w:qFormat/>
    <w:uiPriority w:val="0"/>
    <w:pPr>
      <w:overflowPunct w:val="0"/>
      <w:spacing w:line="200" w:lineRule="atLeast"/>
      <w:jc w:val="center"/>
      <w:textAlignment w:val="baseline"/>
    </w:pPr>
    <w:rPr>
      <w:kern w:val="0"/>
      <w:szCs w:val="20"/>
    </w:rPr>
  </w:style>
  <w:style w:type="paragraph" w:customStyle="1" w:styleId="79">
    <w:name w:val="A报告正文"/>
    <w:basedOn w:val="1"/>
    <w:link w:val="87"/>
    <w:qFormat/>
    <w:uiPriority w:val="0"/>
    <w:pPr>
      <w:spacing w:line="360" w:lineRule="auto"/>
      <w:ind w:firstLine="420" w:firstLineChars="200"/>
    </w:pPr>
  </w:style>
  <w:style w:type="paragraph" w:customStyle="1" w:styleId="80">
    <w:name w:val="表格样式"/>
    <w:basedOn w:val="79"/>
    <w:qFormat/>
    <w:uiPriority w:val="0"/>
    <w:pPr>
      <w:spacing w:line="240" w:lineRule="auto"/>
      <w:ind w:firstLine="0" w:firstLineChars="0"/>
      <w:jc w:val="center"/>
    </w:pPr>
  </w:style>
  <w:style w:type="paragraph" w:customStyle="1" w:styleId="81">
    <w:name w:val="A二级标题"/>
    <w:basedOn w:val="1"/>
    <w:qFormat/>
    <w:uiPriority w:val="0"/>
    <w:pPr>
      <w:numPr>
        <w:ilvl w:val="2"/>
        <w:numId w:val="2"/>
      </w:numPr>
      <w:spacing w:before="50" w:beforeLines="50" w:after="50" w:afterLines="50" w:line="360" w:lineRule="auto"/>
    </w:pPr>
    <w:rPr>
      <w:b/>
      <w:sz w:val="28"/>
    </w:rPr>
  </w:style>
  <w:style w:type="paragraph" w:customStyle="1" w:styleId="82">
    <w:name w:val="A表格标题"/>
    <w:basedOn w:val="79"/>
    <w:qFormat/>
    <w:uiPriority w:val="0"/>
    <w:pPr>
      <w:ind w:firstLine="0" w:firstLineChars="0"/>
      <w:jc w:val="center"/>
    </w:pPr>
    <w:rPr>
      <w:b/>
    </w:rPr>
  </w:style>
  <w:style w:type="paragraph" w:customStyle="1" w:styleId="83">
    <w:name w:val="A插图标题"/>
    <w:basedOn w:val="1"/>
    <w:qFormat/>
    <w:uiPriority w:val="0"/>
    <w:pPr>
      <w:spacing w:line="360" w:lineRule="auto"/>
      <w:jc w:val="center"/>
    </w:pPr>
    <w:rPr>
      <w:b/>
    </w:rPr>
  </w:style>
  <w:style w:type="paragraph" w:customStyle="1" w:styleId="84">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85">
    <w:name w:val="fontstyle01"/>
    <w:basedOn w:val="29"/>
    <w:qFormat/>
    <w:uiPriority w:val="0"/>
    <w:rPr>
      <w:rFonts w:hint="eastAsia" w:ascii="宋体" w:hAnsi="宋体" w:eastAsia="宋体"/>
      <w:color w:val="000000"/>
      <w:sz w:val="18"/>
      <w:szCs w:val="18"/>
    </w:rPr>
  </w:style>
  <w:style w:type="character" w:customStyle="1" w:styleId="86">
    <w:name w:val="fontstyle21"/>
    <w:basedOn w:val="29"/>
    <w:qFormat/>
    <w:uiPriority w:val="0"/>
    <w:rPr>
      <w:rFonts w:hint="default" w:ascii="TimesNewRomanPSMT" w:hAnsi="TimesNewRomanPSMT"/>
      <w:color w:val="000000"/>
      <w:sz w:val="12"/>
      <w:szCs w:val="12"/>
    </w:rPr>
  </w:style>
  <w:style w:type="character" w:customStyle="1" w:styleId="87">
    <w:name w:val="A报告正文 Char"/>
    <w:link w:val="79"/>
    <w:qFormat/>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35</Pages>
  <Words>3787</Words>
  <Characters>21586</Characters>
  <Lines>179</Lines>
  <Paragraphs>50</Paragraphs>
  <TotalTime>37</TotalTime>
  <ScaleCrop>false</ScaleCrop>
  <LinksUpToDate>false</LinksUpToDate>
  <CharactersWithSpaces>25323</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2021-07-05T06:40:00Z</dcterms:created>
  <dc:creator>lhj</dc:creator>
  <cp:lastModifiedBy>Dream</cp:lastModifiedBy>
  <cp:lastPrinted>2021-07-07T01:01:00Z</cp:lastPrinted>
  <dcterms:modified xsi:type="dcterms:W3CDTF">2021-07-07T01:32:35Z</dcterms:modified>
  <dc:title>附件2</dc:title>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DB3DBDD26C3F4144AB41A497DC5A1F38</vt:lpwstr>
  </property>
</Properties>
</file>